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197DB3" w14:textId="1849F3CD" w:rsidR="00AD7A13" w:rsidRDefault="004102A5">
      <w:pPr>
        <w:jc w:val="center"/>
        <w:rPr>
          <w:color w:val="0000FF"/>
          <w:sz w:val="28"/>
          <w:szCs w:val="28"/>
        </w:rPr>
      </w:pPr>
      <w:proofErr w:type="gramStart"/>
      <w:r>
        <w:rPr>
          <w:color w:val="0000FF"/>
          <w:sz w:val="28"/>
          <w:szCs w:val="28"/>
        </w:rPr>
        <w:t>VODOVOD  POMORAVÍ</w:t>
      </w:r>
      <w:proofErr w:type="gramEnd"/>
      <w:r>
        <w:rPr>
          <w:color w:val="0000FF"/>
          <w:sz w:val="28"/>
          <w:szCs w:val="28"/>
        </w:rPr>
        <w:t xml:space="preserve">, svazek obcí, </w:t>
      </w:r>
      <w:r w:rsidR="00D70C7A">
        <w:rPr>
          <w:color w:val="0000FF"/>
          <w:sz w:val="28"/>
          <w:szCs w:val="28"/>
        </w:rPr>
        <w:t>Lutotín 79</w:t>
      </w:r>
      <w:r>
        <w:rPr>
          <w:color w:val="0000FF"/>
          <w:sz w:val="28"/>
          <w:szCs w:val="28"/>
        </w:rPr>
        <w:t xml:space="preserve">, 798 41 </w:t>
      </w:r>
      <w:r w:rsidR="00D70C7A">
        <w:rPr>
          <w:color w:val="0000FF"/>
          <w:sz w:val="28"/>
          <w:szCs w:val="28"/>
        </w:rPr>
        <w:t>Bílovice-Lutotín</w:t>
      </w:r>
    </w:p>
    <w:p w14:paraId="78F837F5" w14:textId="77777777" w:rsidR="00AD7A13" w:rsidRDefault="004102A5">
      <w:r>
        <w:rPr>
          <w:color w:val="0000FF"/>
        </w:rPr>
        <w:t xml:space="preserve">              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</w:t>
      </w:r>
      <w:r>
        <w:rPr>
          <w:color w:val="0000FF"/>
        </w:rPr>
        <w:tab/>
      </w:r>
    </w:p>
    <w:p w14:paraId="65879CA0" w14:textId="6C419794" w:rsidR="00AD7A13" w:rsidRDefault="004102A5">
      <w:proofErr w:type="gramStart"/>
      <w:r>
        <w:t>IČ:  47921129</w:t>
      </w:r>
      <w:proofErr w:type="gramEnd"/>
      <w:r>
        <w:t xml:space="preserve">                                                                                  tel.: </w:t>
      </w:r>
      <w:r w:rsidR="008A33FD" w:rsidRPr="008A33FD">
        <w:t>737 606 546</w:t>
      </w:r>
    </w:p>
    <w:p w14:paraId="1E909240" w14:textId="77777777" w:rsidR="00AD7A13" w:rsidRDefault="004102A5">
      <w:r>
        <w:t>DIČ: CZ47921129                                                                           Datová schránka: 2k9ev87</w:t>
      </w:r>
    </w:p>
    <w:p w14:paraId="2B4758D9" w14:textId="77777777" w:rsidR="00AD7A13" w:rsidRDefault="004102A5">
      <w:r>
        <w:t xml:space="preserve">Bankovní spojení: FIO banka Prostějov 2301145632/2010      </w:t>
      </w:r>
      <w:r>
        <w:rPr>
          <w:sz w:val="21"/>
          <w:szCs w:val="21"/>
        </w:rPr>
        <w:t>E–</w:t>
      </w:r>
      <w:proofErr w:type="gramStart"/>
      <w:r>
        <w:rPr>
          <w:sz w:val="21"/>
          <w:szCs w:val="21"/>
        </w:rPr>
        <w:t>mail:info@vodovodpomoravi.cz</w:t>
      </w:r>
      <w:proofErr w:type="gramEnd"/>
    </w:p>
    <w:p w14:paraId="6B284E20" w14:textId="77777777" w:rsidR="00AD7A13" w:rsidRDefault="00AD7A13">
      <w:pPr>
        <w:jc w:val="center"/>
      </w:pPr>
    </w:p>
    <w:p w14:paraId="044A24E7" w14:textId="77777777" w:rsidR="00AD7A13" w:rsidRDefault="00AD7A13">
      <w:pPr>
        <w:jc w:val="center"/>
      </w:pPr>
    </w:p>
    <w:p w14:paraId="2B766E63" w14:textId="77777777" w:rsidR="00AD7A13" w:rsidRDefault="00AD7A13">
      <w:pPr>
        <w:jc w:val="center"/>
      </w:pPr>
    </w:p>
    <w:p w14:paraId="797595D7" w14:textId="78CEBCA2" w:rsidR="00AD7A13" w:rsidRDefault="004102A5">
      <w:pPr>
        <w:pStyle w:val="Zhlav"/>
      </w:pPr>
      <w:r>
        <w:t xml:space="preserve">                                                     </w:t>
      </w:r>
      <w:r>
        <w:rPr>
          <w:rFonts w:eastAsia="MS Mincho;ＭＳ 明朝"/>
          <w:b/>
          <w:sz w:val="32"/>
          <w:szCs w:val="32"/>
        </w:rPr>
        <w:t>Ceník vodného na r. 202</w:t>
      </w:r>
      <w:r w:rsidR="00353914">
        <w:rPr>
          <w:rFonts w:eastAsia="MS Mincho;ＭＳ 明朝"/>
          <w:b/>
          <w:sz w:val="32"/>
          <w:szCs w:val="32"/>
        </w:rPr>
        <w:t>5</w:t>
      </w:r>
    </w:p>
    <w:p w14:paraId="2F025D0E" w14:textId="77777777" w:rsidR="00AD7A13" w:rsidRDefault="004102A5">
      <w:pPr>
        <w:pStyle w:val="Zhlav"/>
      </w:pPr>
      <w:r>
        <w:t xml:space="preserve">                                                </w:t>
      </w:r>
      <w:r>
        <w:rPr>
          <w:rFonts w:eastAsia="MS Mincho;ＭＳ 明朝"/>
        </w:rPr>
        <w:t>(pro Olomouc – místní části Slavonín a Nemilany)</w:t>
      </w:r>
    </w:p>
    <w:p w14:paraId="08B8B6FC" w14:textId="76E2AFA6" w:rsidR="00AD7A13" w:rsidRDefault="004102A5">
      <w:pPr>
        <w:pStyle w:val="Zkladntext31"/>
        <w:spacing w:before="480" w:after="240"/>
      </w:pPr>
      <w:r>
        <w:t xml:space="preserve">V souladu s ustanovením zákona č. 526/1990 Sb. (Zákon o cenách), ve znění pozdějších předpisů, platným Cenovým věstníkem MF </w:t>
      </w:r>
      <w:proofErr w:type="gramStart"/>
      <w:r>
        <w:t>ČR  a</w:t>
      </w:r>
      <w:proofErr w:type="gramEnd"/>
      <w:r>
        <w:t xml:space="preserve"> na základě cenové kalkulace provozovatele, </w:t>
      </w:r>
      <w:r w:rsidR="00353914">
        <w:t>vzala na vědomí</w:t>
      </w:r>
      <w:r>
        <w:t xml:space="preserve"> dne </w:t>
      </w:r>
      <w:r w:rsidR="00D70C7A">
        <w:t>1</w:t>
      </w:r>
      <w:r w:rsidR="00353914">
        <w:t>8</w:t>
      </w:r>
      <w:r>
        <w:t>.12.202</w:t>
      </w:r>
      <w:r w:rsidR="00353914">
        <w:t>4</w:t>
      </w:r>
      <w:r>
        <w:t>, 5</w:t>
      </w:r>
      <w:r w:rsidR="00353914">
        <w:t>8</w:t>
      </w:r>
      <w:r>
        <w:t xml:space="preserve">.Valná hromada Vodovodu Pomoraví, svazku obcí, jakožto nejvyšší orgán vlastníka vodovodu, cenu vodného  za dodávku pitné vody koncovým odběratelům. Cena je stanovena jako </w:t>
      </w:r>
      <w:r>
        <w:rPr>
          <w:u w:val="single"/>
        </w:rPr>
        <w:t>jednosložková,</w:t>
      </w:r>
      <w:r>
        <w:t xml:space="preserve"> </w:t>
      </w:r>
      <w:r>
        <w:rPr>
          <w:u w:val="single"/>
        </w:rPr>
        <w:t>stejná jako ve Městě Olomouci</w:t>
      </w:r>
      <w:r>
        <w:t xml:space="preserve"> a to následovně:</w:t>
      </w:r>
    </w:p>
    <w:tbl>
      <w:tblPr>
        <w:tblW w:w="950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2520"/>
        <w:gridCol w:w="2160"/>
        <w:gridCol w:w="960"/>
        <w:gridCol w:w="1320"/>
        <w:gridCol w:w="1390"/>
      </w:tblGrid>
      <w:tr w:rsidR="00AD7A13" w14:paraId="6DD526DA" w14:textId="77777777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08D4E" w14:textId="77777777" w:rsidR="00AD7A13" w:rsidRDefault="004102A5">
            <w:pPr>
              <w:pStyle w:val="Nadpis4"/>
            </w:pPr>
            <w:r>
              <w:t>SKP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9C62B" w14:textId="77777777" w:rsidR="00AD7A13" w:rsidRDefault="004102A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Popis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461D8" w14:textId="77777777" w:rsidR="00AD7A13" w:rsidRDefault="00AD7A13">
            <w:pPr>
              <w:snapToGrid w:val="0"/>
              <w:jc w:val="center"/>
              <w:rPr>
                <w:i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A8FFC" w14:textId="77777777" w:rsidR="00AD7A13" w:rsidRDefault="004102A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Měrná jednotka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27B68" w14:textId="77777777" w:rsidR="00AD7A13" w:rsidRDefault="004102A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Cena </w:t>
            </w:r>
          </w:p>
          <w:p w14:paraId="3DE51BD9" w14:textId="77777777" w:rsidR="00AD7A13" w:rsidRDefault="004102A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bez DPH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3039" w14:textId="77777777" w:rsidR="00AD7A13" w:rsidRDefault="004102A5">
            <w:pPr>
              <w:pStyle w:val="Nadpis4"/>
              <w:tabs>
                <w:tab w:val="left" w:pos="2969"/>
              </w:tabs>
              <w:rPr>
                <w:szCs w:val="24"/>
              </w:rPr>
            </w:pPr>
            <w:r>
              <w:rPr>
                <w:szCs w:val="24"/>
              </w:rPr>
              <w:t>Cena</w:t>
            </w:r>
          </w:p>
          <w:p w14:paraId="19C8ACC3" w14:textId="77777777" w:rsidR="00AD7A13" w:rsidRDefault="004102A5">
            <w:pPr>
              <w:pStyle w:val="Nadpis4"/>
              <w:tabs>
                <w:tab w:val="left" w:pos="2969"/>
              </w:tabs>
            </w:pPr>
            <w:r>
              <w:rPr>
                <w:szCs w:val="24"/>
              </w:rPr>
              <w:t xml:space="preserve"> vč. DPH </w:t>
            </w:r>
          </w:p>
          <w:p w14:paraId="42987534" w14:textId="77777777" w:rsidR="00AD7A13" w:rsidRDefault="00AD7A13">
            <w:pPr>
              <w:pStyle w:val="Nadpis4"/>
              <w:tabs>
                <w:tab w:val="left" w:pos="2969"/>
              </w:tabs>
              <w:rPr>
                <w:szCs w:val="24"/>
              </w:rPr>
            </w:pPr>
          </w:p>
        </w:tc>
      </w:tr>
      <w:tr w:rsidR="00AD7A13" w14:paraId="21E81F51" w14:textId="77777777">
        <w:trPr>
          <w:trHeight w:hRule="exact" w:val="219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066AB" w14:textId="77777777" w:rsidR="00AD7A13" w:rsidRDefault="00AD7A13">
            <w:pPr>
              <w:snapToGrid w:val="0"/>
              <w:rPr>
                <w:b/>
                <w:sz w:val="1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F7022" w14:textId="77777777" w:rsidR="00AD7A13" w:rsidRDefault="00AD7A13">
            <w:pPr>
              <w:snapToGrid w:val="0"/>
              <w:rPr>
                <w:b/>
                <w:sz w:val="1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DA32B" w14:textId="77777777" w:rsidR="00AD7A13" w:rsidRDefault="00AD7A13">
            <w:pPr>
              <w:snapToGrid w:val="0"/>
              <w:jc w:val="center"/>
              <w:rPr>
                <w:b/>
                <w:sz w:val="1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961CA" w14:textId="77777777" w:rsidR="00AD7A13" w:rsidRDefault="00AD7A13">
            <w:pPr>
              <w:snapToGrid w:val="0"/>
              <w:jc w:val="center"/>
              <w:rPr>
                <w:b/>
                <w:sz w:val="1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972EC" w14:textId="77777777" w:rsidR="00AD7A13" w:rsidRDefault="00AD7A13">
            <w:pPr>
              <w:snapToGrid w:val="0"/>
              <w:jc w:val="center"/>
              <w:rPr>
                <w:b/>
                <w:sz w:val="1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C157" w14:textId="77777777" w:rsidR="00AD7A13" w:rsidRDefault="00AD7A13">
            <w:pPr>
              <w:snapToGrid w:val="0"/>
              <w:jc w:val="center"/>
              <w:rPr>
                <w:b/>
                <w:sz w:val="12"/>
              </w:rPr>
            </w:pPr>
          </w:p>
        </w:tc>
      </w:tr>
      <w:tr w:rsidR="00AD7A13" w14:paraId="6CDD35EB" w14:textId="77777777">
        <w:trPr>
          <w:cantSplit/>
          <w:trHeight w:hRule="exact" w:val="4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631E0" w14:textId="77777777" w:rsidR="00AD7A13" w:rsidRDefault="004102A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41.00.11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45B35" w14:textId="77777777" w:rsidR="00AD7A13" w:rsidRDefault="004102A5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voda pitná dodávaná přímým odběratelům</w:t>
            </w:r>
          </w:p>
          <w:p w14:paraId="331BCB42" w14:textId="77777777" w:rsidR="00AD7A13" w:rsidRDefault="00AD7A13">
            <w:pPr>
              <w:rPr>
                <w:bCs/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175FF" w14:textId="77777777" w:rsidR="00AD7A13" w:rsidRDefault="00AD7A13">
            <w:pPr>
              <w:snapToGrid w:val="0"/>
              <w:rPr>
                <w:bCs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9B5D" w14:textId="77777777" w:rsidR="00AD7A13" w:rsidRDefault="00AD7A13">
            <w:pPr>
              <w:snapToGrid w:val="0"/>
              <w:rPr>
                <w:bCs/>
                <w:sz w:val="18"/>
              </w:rPr>
            </w:pPr>
          </w:p>
        </w:tc>
      </w:tr>
      <w:tr w:rsidR="00AD7A13" w14:paraId="60205A11" w14:textId="77777777">
        <w:trPr>
          <w:trHeight w:hRule="exact" w:val="126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A7160" w14:textId="77777777" w:rsidR="00AD7A13" w:rsidRPr="00826E16" w:rsidRDefault="00AD7A13">
            <w:pPr>
              <w:snapToGrid w:val="0"/>
              <w:jc w:val="center"/>
              <w:rPr>
                <w:bCs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C7D90" w14:textId="77777777" w:rsidR="00AD7A13" w:rsidRPr="00826E16" w:rsidRDefault="004102A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4"/>
              </w:rPr>
            </w:pPr>
            <w:r w:rsidRPr="00826E16">
              <w:rPr>
                <w:b/>
                <w:bCs/>
                <w:sz w:val="22"/>
                <w:szCs w:val="24"/>
              </w:rPr>
              <w:t xml:space="preserve">vodné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9E9BB" w14:textId="77777777" w:rsidR="00AD7A13" w:rsidRPr="00826E16" w:rsidRDefault="004102A5">
            <w:pPr>
              <w:rPr>
                <w:sz w:val="22"/>
              </w:rPr>
            </w:pPr>
            <w:r w:rsidRPr="00826E16">
              <w:rPr>
                <w:sz w:val="22"/>
              </w:rPr>
              <w:t>jednosložková cena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8A4D7" w14:textId="4E1FAD7D" w:rsidR="00AD7A13" w:rsidRPr="00826E16" w:rsidRDefault="004102A5">
            <w:pPr>
              <w:jc w:val="center"/>
            </w:pPr>
            <w:r w:rsidRPr="00826E16">
              <w:rPr>
                <w:sz w:val="22"/>
              </w:rPr>
              <w:t>Kč/m</w:t>
            </w:r>
            <w:r w:rsidRPr="00826E16">
              <w:rPr>
                <w:sz w:val="22"/>
                <w:vertAlign w:val="superscript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8BA3F" w14:textId="20C5564B" w:rsidR="00AD7A13" w:rsidRPr="00826E16" w:rsidRDefault="003D2E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53,25</w:t>
            </w:r>
            <w:r w:rsidR="004102A5" w:rsidRPr="00826E16">
              <w:rPr>
                <w:sz w:val="22"/>
              </w:rPr>
              <w:t>Kč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03B0" w14:textId="01DD0711" w:rsidR="00AD7A13" w:rsidRPr="00826E16" w:rsidRDefault="004102A5">
            <w:r w:rsidRPr="00826E16">
              <w:rPr>
                <w:sz w:val="22"/>
              </w:rPr>
              <w:t xml:space="preserve"> </w:t>
            </w:r>
            <w:r w:rsidR="00826E16" w:rsidRPr="00826E16">
              <w:rPr>
                <w:sz w:val="22"/>
              </w:rPr>
              <w:t>5</w:t>
            </w:r>
            <w:r w:rsidR="003D2E5D">
              <w:rPr>
                <w:sz w:val="22"/>
              </w:rPr>
              <w:t>9,</w:t>
            </w:r>
            <w:proofErr w:type="gramStart"/>
            <w:r w:rsidR="003D2E5D">
              <w:rPr>
                <w:sz w:val="22"/>
              </w:rPr>
              <w:t>64</w:t>
            </w:r>
            <w:r w:rsidRPr="00826E16">
              <w:rPr>
                <w:sz w:val="22"/>
              </w:rPr>
              <w:t xml:space="preserve">  Kč</w:t>
            </w:r>
            <w:proofErr w:type="gramEnd"/>
          </w:p>
        </w:tc>
      </w:tr>
    </w:tbl>
    <w:p w14:paraId="542C23ED" w14:textId="77777777" w:rsidR="00AD7A13" w:rsidRDefault="00AD7A13">
      <w:pPr>
        <w:pStyle w:val="Zkladntext21"/>
        <w:rPr>
          <w:rFonts w:ascii="Times New Roman" w:eastAsia="Times New Roman" w:hAnsi="Times New Roman" w:cs="Times New Roman"/>
          <w:b/>
          <w:bCs/>
          <w:sz w:val="22"/>
        </w:rPr>
      </w:pPr>
    </w:p>
    <w:p w14:paraId="3C6B2E90" w14:textId="77777777" w:rsidR="00AD7A13" w:rsidRDefault="00AD7A13">
      <w:pPr>
        <w:pStyle w:val="Zkladntext21"/>
        <w:rPr>
          <w:rFonts w:ascii="Times New Roman" w:eastAsia="Times New Roman" w:hAnsi="Times New Roman" w:cs="Times New Roman"/>
          <w:b/>
          <w:bCs/>
          <w:sz w:val="22"/>
        </w:rPr>
      </w:pPr>
    </w:p>
    <w:p w14:paraId="76E620A0" w14:textId="5AA9F241" w:rsidR="00AD7A13" w:rsidRDefault="004102A5">
      <w:pPr>
        <w:pStyle w:val="Zkladntext21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Tento ceník nabývá účinnosti od 1.1.202</w:t>
      </w:r>
      <w:r w:rsidR="00353914">
        <w:rPr>
          <w:rFonts w:ascii="Times New Roman" w:eastAsia="Times New Roman" w:hAnsi="Times New Roman" w:cs="Times New Roman"/>
          <w:b/>
          <w:bCs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a je platný do 31.12.202</w:t>
      </w:r>
      <w:r w:rsidR="00353914">
        <w:rPr>
          <w:rFonts w:ascii="Times New Roman" w:eastAsia="Times New Roman" w:hAnsi="Times New Roman" w:cs="Times New Roman"/>
          <w:b/>
          <w:bCs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Vodné je účtováno s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</w:t>
      </w:r>
      <w:r w:rsidR="00D70C7A">
        <w:rPr>
          <w:rFonts w:ascii="Times New Roman" w:eastAsia="Times New Roman" w:hAnsi="Times New Roman" w:cs="Times New Roman"/>
          <w:b/>
          <w:bCs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%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DPH.</w:t>
      </w:r>
      <w:r>
        <w:rPr>
          <w:rFonts w:ascii="Times New Roman" w:eastAsia="Times New Roman" w:hAnsi="Times New Roman" w:cs="Times New Roman"/>
          <w:b/>
          <w:bCs/>
          <w:sz w:val="22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 případě změny sazby DPH v průběhu roku 202</w:t>
      </w:r>
      <w:r w:rsidR="00353914"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 xml:space="preserve">, bude vodné fakturováno s aktuálně platnou sazbou DPH. </w:t>
      </w:r>
    </w:p>
    <w:p w14:paraId="757EA3EA" w14:textId="77777777" w:rsidR="00AD7A13" w:rsidRDefault="00AD7A13">
      <w:pPr>
        <w:jc w:val="both"/>
        <w:rPr>
          <w:sz w:val="21"/>
          <w:szCs w:val="21"/>
        </w:rPr>
      </w:pPr>
    </w:p>
    <w:p w14:paraId="166349B6" w14:textId="77777777" w:rsidR="00AD7A13" w:rsidRDefault="004102A5">
      <w:pPr>
        <w:jc w:val="both"/>
      </w:pPr>
      <w:r>
        <w:rPr>
          <w:sz w:val="22"/>
        </w:rPr>
        <w:t>Provozovatelem tohoto vodárenského systému je odborně akreditovaná firma MORAVSKÁ VODÁRENSKÁ, a.s. se sídlem Tovární 1059/41, 779 00 Olomouc.</w:t>
      </w:r>
      <w:r>
        <w:rPr>
          <w:color w:val="FF0000"/>
          <w:sz w:val="22"/>
        </w:rPr>
        <w:t xml:space="preserve"> </w:t>
      </w:r>
      <w:r>
        <w:rPr>
          <w:sz w:val="22"/>
        </w:rPr>
        <w:t xml:space="preserve">Kontakt na vedoucího střediska </w:t>
      </w:r>
      <w:proofErr w:type="gramStart"/>
      <w:r>
        <w:rPr>
          <w:sz w:val="22"/>
        </w:rPr>
        <w:t>vodovodů:  Ing.</w:t>
      </w:r>
      <w:proofErr w:type="gramEnd"/>
      <w:r>
        <w:rPr>
          <w:sz w:val="22"/>
        </w:rPr>
        <w:t xml:space="preserve"> Jakub Štěpánek, mobil 606 793 945</w:t>
      </w:r>
    </w:p>
    <w:p w14:paraId="7A0F8EC6" w14:textId="77777777" w:rsidR="00AD7A13" w:rsidRDefault="00AD7A13">
      <w:pPr>
        <w:jc w:val="both"/>
        <w:rPr>
          <w:sz w:val="22"/>
        </w:rPr>
      </w:pPr>
    </w:p>
    <w:p w14:paraId="41E542F5" w14:textId="77777777" w:rsidR="00AD7A13" w:rsidRDefault="004102A5">
      <w:r>
        <w:rPr>
          <w:b/>
          <w:bCs/>
          <w:sz w:val="22"/>
        </w:rPr>
        <w:t xml:space="preserve">Případné poruchy na vodovodu nebo na vodovodních přípojkách hlaste </w:t>
      </w:r>
      <w:proofErr w:type="gramStart"/>
      <w:r>
        <w:rPr>
          <w:b/>
          <w:bCs/>
          <w:sz w:val="22"/>
        </w:rPr>
        <w:t>na  nepřetržitou</w:t>
      </w:r>
      <w:proofErr w:type="gramEnd"/>
      <w:r>
        <w:rPr>
          <w:b/>
          <w:bCs/>
          <w:sz w:val="22"/>
        </w:rPr>
        <w:t xml:space="preserve"> telefonní linku  „vodárenského dispečinku“, </w:t>
      </w:r>
      <w:hyperlink r:id="rId5">
        <w:r>
          <w:rPr>
            <w:rStyle w:val="Internetovodkaz"/>
            <w:b/>
            <w:bCs/>
            <w:sz w:val="22"/>
          </w:rPr>
          <w:t xml:space="preserve">840 668 668, </w:t>
        </w:r>
      </w:hyperlink>
      <w:r>
        <w:rPr>
          <w:b/>
          <w:bCs/>
          <w:sz w:val="22"/>
        </w:rPr>
        <w:t xml:space="preserve"> mob. </w:t>
      </w:r>
      <w:r>
        <w:rPr>
          <w:b/>
          <w:sz w:val="22"/>
        </w:rPr>
        <w:t>601 276 276, provolba 1</w:t>
      </w:r>
      <w:r>
        <w:rPr>
          <w:b/>
          <w:lang w:eastAsia="cs-CZ"/>
        </w:rPr>
        <w:br/>
      </w:r>
    </w:p>
    <w:p w14:paraId="134682C1" w14:textId="77777777" w:rsidR="00AD7A13" w:rsidRDefault="00AD7A13">
      <w:pPr>
        <w:jc w:val="both"/>
        <w:rPr>
          <w:b/>
          <w:bCs/>
          <w:sz w:val="22"/>
        </w:rPr>
      </w:pPr>
    </w:p>
    <w:p w14:paraId="1312E01C" w14:textId="77777777" w:rsidR="00AD7A13" w:rsidRDefault="004102A5">
      <w:pPr>
        <w:jc w:val="both"/>
      </w:pPr>
      <w:r>
        <w:rPr>
          <w:sz w:val="22"/>
        </w:rPr>
        <w:t>Odečty vodoměrů a fakturace vodného, vlastním jménem na vlastní účet, budou prováděny provozovatelem 1x ročně, podle stanoveného harmonogramu, který je k dispozici u provozovatele.</w:t>
      </w:r>
      <w:r>
        <w:rPr>
          <w:strike/>
          <w:color w:val="FF0000"/>
          <w:sz w:val="22"/>
        </w:rPr>
        <w:t xml:space="preserve"> </w:t>
      </w:r>
      <w:r>
        <w:rPr>
          <w:sz w:val="22"/>
        </w:rPr>
        <w:t>Přesný termín odečtů bude odběratelům předem a včas vhodným způsobem oznámen.</w:t>
      </w:r>
    </w:p>
    <w:p w14:paraId="562C5C46" w14:textId="77777777" w:rsidR="00AD7A13" w:rsidRDefault="00AD7A13">
      <w:pPr>
        <w:jc w:val="both"/>
        <w:rPr>
          <w:sz w:val="22"/>
        </w:rPr>
      </w:pPr>
    </w:p>
    <w:p w14:paraId="7EDCDBEB" w14:textId="77777777" w:rsidR="00AD7A13" w:rsidRDefault="004102A5">
      <w:pPr>
        <w:rPr>
          <w:b/>
          <w:bCs/>
          <w:sz w:val="22"/>
        </w:rPr>
      </w:pPr>
      <w:r>
        <w:rPr>
          <w:b/>
          <w:bCs/>
          <w:sz w:val="22"/>
        </w:rPr>
        <w:t xml:space="preserve">Další informace je možno získat na bezplatné telefonní lince  </w:t>
      </w:r>
      <w:hyperlink r:id="rId6">
        <w:r>
          <w:rPr>
            <w:rStyle w:val="Internetovodkaz"/>
            <w:b/>
            <w:bCs/>
            <w:sz w:val="22"/>
          </w:rPr>
          <w:t>840 668 668.</w:t>
        </w:r>
        <w:r>
          <w:rPr>
            <w:rStyle w:val="Internetovodkaz"/>
            <w:b/>
            <w:bCs/>
            <w:sz w:val="22"/>
          </w:rPr>
          <w:br/>
        </w:r>
      </w:hyperlink>
    </w:p>
    <w:p w14:paraId="79EDB530" w14:textId="77777777" w:rsidR="00AD7A13" w:rsidRDefault="00AD7A13">
      <w:pPr>
        <w:jc w:val="both"/>
        <w:rPr>
          <w:b/>
          <w:bCs/>
          <w:sz w:val="22"/>
        </w:rPr>
      </w:pPr>
    </w:p>
    <w:p w14:paraId="2F4CE527" w14:textId="1CEAFCDC" w:rsidR="00AD7A13" w:rsidRDefault="004102A5">
      <w:pPr>
        <w:rPr>
          <w:sz w:val="22"/>
        </w:rPr>
      </w:pPr>
      <w:r>
        <w:rPr>
          <w:sz w:val="22"/>
        </w:rPr>
        <w:t>V </w:t>
      </w:r>
      <w:r w:rsidR="00A110D7">
        <w:rPr>
          <w:sz w:val="22"/>
        </w:rPr>
        <w:t>Lutotíně</w:t>
      </w:r>
      <w:r>
        <w:rPr>
          <w:sz w:val="22"/>
        </w:rPr>
        <w:t xml:space="preserve"> </w:t>
      </w:r>
      <w:r w:rsidR="00D70C7A">
        <w:rPr>
          <w:sz w:val="22"/>
        </w:rPr>
        <w:t>1</w:t>
      </w:r>
      <w:r w:rsidR="00353914">
        <w:rPr>
          <w:sz w:val="22"/>
        </w:rPr>
        <w:t>8</w:t>
      </w:r>
      <w:r>
        <w:rPr>
          <w:sz w:val="22"/>
        </w:rPr>
        <w:t>.12.202</w:t>
      </w:r>
      <w:r w:rsidR="00353914">
        <w:rPr>
          <w:sz w:val="22"/>
        </w:rPr>
        <w:t>4</w:t>
      </w:r>
      <w:r>
        <w:rPr>
          <w:sz w:val="22"/>
        </w:rPr>
        <w:t xml:space="preserve">                                         </w:t>
      </w:r>
    </w:p>
    <w:p w14:paraId="33FFE69B" w14:textId="77777777" w:rsidR="00AD7A13" w:rsidRDefault="004102A5">
      <w:r>
        <w:rPr>
          <w:sz w:val="22"/>
        </w:rPr>
        <w:t xml:space="preserve">                                                                                          </w:t>
      </w:r>
      <w:r>
        <w:t>Ing. Michal Tichý v.r.</w:t>
      </w:r>
    </w:p>
    <w:p w14:paraId="7B3E8F30" w14:textId="77777777" w:rsidR="00AD7A13" w:rsidRDefault="004102A5">
      <w:r>
        <w:t xml:space="preserve">                                                                             předseda představenstva svazku</w:t>
      </w:r>
      <w:r>
        <w:rPr>
          <w:sz w:val="22"/>
        </w:rPr>
        <w:t xml:space="preserve">                                                                         </w:t>
      </w:r>
    </w:p>
    <w:sectPr w:rsidR="00AD7A13">
      <w:pgSz w:w="11906" w:h="16838"/>
      <w:pgMar w:top="1134" w:right="1418" w:bottom="709" w:left="1418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Courier New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11066"/>
    <w:multiLevelType w:val="multilevel"/>
    <w:tmpl w:val="75024E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899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A13"/>
    <w:rsid w:val="00150385"/>
    <w:rsid w:val="001E1F88"/>
    <w:rsid w:val="00353914"/>
    <w:rsid w:val="003D2E5D"/>
    <w:rsid w:val="004102A5"/>
    <w:rsid w:val="00770B7F"/>
    <w:rsid w:val="00826E16"/>
    <w:rsid w:val="008A33FD"/>
    <w:rsid w:val="00A110D7"/>
    <w:rsid w:val="00AD7A13"/>
    <w:rsid w:val="00D7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B2E9"/>
  <w15:docId w15:val="{7FAD494A-3215-4218-9BDC-0957AA4F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 Unicode M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Standardnpsmoodstavce2">
    <w:name w:val="Standardní písmo odstavce2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  <w:lang w:val="cs-CZ" w:bidi="ar-SA"/>
    </w:rPr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 w:cs="Mangal;Courier New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;Courier New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;Courier New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Zkladntext21">
    <w:name w:val="Základní text 21"/>
    <w:basedOn w:val="Normln"/>
    <w:qFormat/>
    <w:pPr>
      <w:jc w:val="both"/>
    </w:pPr>
    <w:rPr>
      <w:rFonts w:ascii="Courier New" w:eastAsia="MS Mincho;ＭＳ 明朝" w:hAnsi="Courier New" w:cs="Courier New"/>
      <w:sz w:val="20"/>
      <w:szCs w:val="20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kladntext31">
    <w:name w:val="Základní text 31"/>
    <w:basedOn w:val="Normln"/>
    <w:qFormat/>
    <w:pPr>
      <w:spacing w:before="120"/>
      <w:jc w:val="both"/>
    </w:pPr>
    <w:rPr>
      <w:sz w:val="22"/>
      <w:szCs w:val="20"/>
    </w:rPr>
  </w:style>
  <w:style w:type="paragraph" w:customStyle="1" w:styleId="Datum1">
    <w:name w:val="Datum1"/>
    <w:basedOn w:val="Normln"/>
    <w:next w:val="Normln"/>
    <w:qFormat/>
    <w:pPr>
      <w:spacing w:after="220" w:line="220" w:lineRule="atLeast"/>
      <w:jc w:val="both"/>
    </w:pPr>
    <w:rPr>
      <w:rFonts w:ascii="Arial" w:hAnsi="Arial" w:cs="Arial"/>
      <w:spacing w:val="-5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Obsahrmce">
    <w:name w:val="Obsah rámce"/>
    <w:basedOn w:val="Normln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v.cz/zakaznicka-linka.html" TargetMode="External"/><Relationship Id="rId5" Type="http://schemas.openxmlformats.org/officeDocument/2006/relationships/hyperlink" Target="http://www.smv.cz/zakaznicka-lin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377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VODOVOD POMORAVÍ, svazek obcí, Okružní 880, 798 41  Kostelec na Hané</dc:title>
  <dc:subject/>
  <dc:creator>Jandl Roman</dc:creator>
  <dc:description/>
  <cp:lastModifiedBy>Veronika Ehlová</cp:lastModifiedBy>
  <cp:revision>14</cp:revision>
  <cp:lastPrinted>1995-11-21T17:41:00Z</cp:lastPrinted>
  <dcterms:created xsi:type="dcterms:W3CDTF">2020-01-02T14:12:00Z</dcterms:created>
  <dcterms:modified xsi:type="dcterms:W3CDTF">2024-12-16T09:00:00Z</dcterms:modified>
  <dc:language>cs-CZ</dc:language>
</cp:coreProperties>
</file>