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
          <w:i/>
          <w:sz w:val="48"/>
        </w:rPr>
      </w:pPr>
      <w:r>
        <w:rPr>
          <w:b/>
          <w:i/>
          <w:sz w:val="48"/>
        </w:rPr>
        <w:t xml:space="preserve">Kupní smlouva  </w:t>
      </w:r>
    </w:p>
    <w:p>
      <w:pPr>
        <w:pStyle w:val="Normal"/>
        <w:jc w:val="center"/>
        <w:rPr>
          <w:sz w:val="22"/>
        </w:rPr>
      </w:pPr>
      <w:r>
        <w:rPr>
          <w:sz w:val="22"/>
        </w:rPr>
      </w:r>
    </w:p>
    <w:p>
      <w:pPr>
        <w:pStyle w:val="Normal"/>
        <w:jc w:val="center"/>
        <w:rPr>
          <w:b/>
          <w:b/>
          <w:i/>
          <w:i/>
          <w:sz w:val="22"/>
        </w:rPr>
      </w:pPr>
      <w:r>
        <w:rPr>
          <w:b/>
          <w:i/>
          <w:sz w:val="22"/>
        </w:rPr>
        <w:t>uzavřená dle ustanovení § 2085 a násl. Občanského zákoníku</w:t>
      </w:r>
    </w:p>
    <w:p>
      <w:pPr>
        <w:pStyle w:val="Normal"/>
        <w:jc w:val="center"/>
        <w:rPr>
          <w:b/>
          <w:b/>
          <w:i/>
          <w:i/>
          <w:sz w:val="22"/>
        </w:rPr>
      </w:pPr>
      <w:r>
        <w:rPr>
          <w:b/>
          <w:i/>
          <w:sz w:val="22"/>
        </w:rPr>
        <w:t xml:space="preserve"> </w:t>
      </w:r>
      <w:r>
        <w:rPr>
          <w:b/>
          <w:i/>
          <w:sz w:val="22"/>
        </w:rPr>
        <w:t>mezi</w:t>
      </w:r>
    </w:p>
    <w:p>
      <w:pPr>
        <w:pStyle w:val="Normal"/>
        <w:jc w:val="both"/>
        <w:rPr>
          <w:sz w:val="24"/>
        </w:rPr>
      </w:pPr>
      <w:r>
        <w:rPr>
          <w:sz w:val="24"/>
        </w:rPr>
      </w:r>
    </w:p>
    <w:p>
      <w:pPr>
        <w:pStyle w:val="Normal"/>
        <w:jc w:val="both"/>
        <w:rPr>
          <w:sz w:val="24"/>
        </w:rPr>
      </w:pPr>
      <w:r>
        <w:rPr>
          <w:sz w:val="24"/>
        </w:rPr>
      </w:r>
    </w:p>
    <w:p>
      <w:pPr>
        <w:pStyle w:val="Normal"/>
        <w:tabs>
          <w:tab w:val="left" w:pos="567" w:leader="none"/>
        </w:tabs>
        <w:jc w:val="both"/>
        <w:rPr/>
      </w:pPr>
      <w:r>
        <w:rPr>
          <w:b/>
          <w:sz w:val="24"/>
        </w:rPr>
        <w:t>1.</w:t>
        <w:tab/>
        <w:t xml:space="preserve">OBEC </w:t>
      </w:r>
      <w:r>
        <w:rPr>
          <w:b/>
          <w:sz w:val="24"/>
        </w:rPr>
        <w:t>DOLOPLAZY</w:t>
      </w:r>
      <w:r>
        <w:rPr>
          <w:b/>
          <w:sz w:val="24"/>
        </w:rPr>
        <w:tab/>
      </w:r>
    </w:p>
    <w:p>
      <w:pPr>
        <w:pStyle w:val="Normal"/>
        <w:tabs>
          <w:tab w:val="left" w:pos="567" w:leader="none"/>
        </w:tabs>
        <w:jc w:val="both"/>
        <w:rPr/>
      </w:pPr>
      <w:r>
        <w:rPr>
          <w:sz w:val="22"/>
          <w:szCs w:val="22"/>
        </w:rPr>
        <w:tab/>
        <w:t>IČ</w:t>
        <w:tab/>
        <w:tab/>
      </w:r>
      <w:r>
        <w:rPr>
          <w:sz w:val="22"/>
          <w:szCs w:val="22"/>
        </w:rPr>
        <w:t>00534927</w:t>
      </w:r>
    </w:p>
    <w:p>
      <w:pPr>
        <w:pStyle w:val="Normal"/>
        <w:tabs>
          <w:tab w:val="left" w:pos="567" w:leader="none"/>
        </w:tabs>
        <w:jc w:val="both"/>
        <w:rPr/>
      </w:pPr>
      <w:r>
        <w:rPr>
          <w:sz w:val="22"/>
        </w:rPr>
        <w:tab/>
        <w:t>sídlem</w:t>
        <w:tab/>
        <w:tab/>
      </w:r>
      <w:r>
        <w:rPr>
          <w:sz w:val="22"/>
        </w:rPr>
        <w:t>Doloplazy 82</w:t>
      </w:r>
    </w:p>
    <w:p>
      <w:pPr>
        <w:pStyle w:val="Normal"/>
        <w:tabs>
          <w:tab w:val="left" w:pos="567" w:leader="none"/>
        </w:tabs>
        <w:jc w:val="both"/>
        <w:rPr>
          <w:sz w:val="22"/>
        </w:rPr>
      </w:pPr>
      <w:r>
        <w:rPr>
          <w:sz w:val="22"/>
        </w:rPr>
        <w:tab/>
        <w:t>zastoupena</w:t>
        <w:tab/>
      </w:r>
      <w:r>
        <w:rPr>
          <w:sz w:val="22"/>
        </w:rPr>
        <w:t>Mgr. Miroslav Bílek, starosta obce</w:t>
      </w:r>
      <w:r>
        <w:rPr>
          <w:rStyle w:val="Contactname"/>
        </w:rPr>
        <w:t xml:space="preserve"> </w:t>
      </w:r>
    </w:p>
    <w:p>
      <w:pPr>
        <w:pStyle w:val="Normal"/>
        <w:tabs>
          <w:tab w:val="left" w:pos="567" w:leader="none"/>
        </w:tabs>
        <w:jc w:val="both"/>
        <w:rPr/>
      </w:pPr>
      <w:r>
        <w:rPr>
          <w:sz w:val="22"/>
        </w:rPr>
        <w:tab/>
        <w:t>tel./e-mail</w:t>
        <w:tab/>
      </w:r>
      <w:r>
        <w:rPr>
          <w:sz w:val="22"/>
        </w:rPr>
        <w:t>777 563 233, starosta@doloplazy.cz</w:t>
      </w:r>
    </w:p>
    <w:p>
      <w:pPr>
        <w:pStyle w:val="Normal"/>
        <w:tabs>
          <w:tab w:val="left" w:pos="567" w:leader="none"/>
        </w:tabs>
        <w:ind w:firstLine="567"/>
        <w:rPr>
          <w:sz w:val="22"/>
        </w:rPr>
      </w:pPr>
      <w:r>
        <w:rPr>
          <w:sz w:val="22"/>
        </w:rPr>
        <w:t>(dále jen „</w:t>
      </w:r>
      <w:r>
        <w:rPr>
          <w:b/>
          <w:sz w:val="22"/>
        </w:rPr>
        <w:t>kupující</w:t>
      </w:r>
      <w:r>
        <w:rPr>
          <w:sz w:val="22"/>
        </w:rPr>
        <w:t>“)</w:t>
      </w:r>
    </w:p>
    <w:p>
      <w:pPr>
        <w:pStyle w:val="Normal"/>
        <w:tabs>
          <w:tab w:val="left" w:pos="567" w:leader="none"/>
        </w:tabs>
        <w:jc w:val="center"/>
        <w:rPr>
          <w:b/>
          <w:b/>
          <w:sz w:val="22"/>
        </w:rPr>
      </w:pPr>
      <w:r>
        <w:rPr>
          <w:b/>
          <w:sz w:val="22"/>
        </w:rPr>
        <w:t>a</w:t>
      </w:r>
    </w:p>
    <w:p>
      <w:pPr>
        <w:pStyle w:val="Normal"/>
        <w:tabs>
          <w:tab w:val="left" w:pos="567" w:leader="none"/>
        </w:tabs>
        <w:jc w:val="center"/>
        <w:rPr>
          <w:b/>
          <w:b/>
          <w:sz w:val="22"/>
        </w:rPr>
      </w:pPr>
      <w:r>
        <w:rPr>
          <w:b/>
          <w:sz w:val="22"/>
        </w:rPr>
      </w:r>
    </w:p>
    <w:p>
      <w:pPr>
        <w:pStyle w:val="Normal"/>
        <w:tabs>
          <w:tab w:val="left" w:pos="567" w:leader="none"/>
        </w:tabs>
        <w:jc w:val="both"/>
        <w:rPr>
          <w:b/>
          <w:b/>
          <w:sz w:val="24"/>
        </w:rPr>
      </w:pPr>
      <w:r>
        <w:rPr>
          <w:b/>
          <w:sz w:val="24"/>
        </w:rPr>
        <w:t>2.</w:t>
        <w:tab/>
        <w:tab/>
        <w:tab/>
        <w:tab/>
      </w:r>
    </w:p>
    <w:p>
      <w:pPr>
        <w:pStyle w:val="Normal"/>
        <w:tabs>
          <w:tab w:val="left" w:pos="567" w:leader="none"/>
        </w:tabs>
        <w:jc w:val="both"/>
        <w:rPr>
          <w:sz w:val="22"/>
        </w:rPr>
      </w:pPr>
      <w:r>
        <w:rPr>
          <w:sz w:val="22"/>
        </w:rPr>
        <w:tab/>
        <w:t>IČ</w:t>
        <w:tab/>
        <w:tab/>
      </w:r>
    </w:p>
    <w:p>
      <w:pPr>
        <w:pStyle w:val="Normal"/>
        <w:tabs>
          <w:tab w:val="left" w:pos="567" w:leader="none"/>
        </w:tabs>
        <w:jc w:val="both"/>
        <w:rPr>
          <w:sz w:val="22"/>
        </w:rPr>
      </w:pPr>
      <w:r>
        <w:rPr>
          <w:sz w:val="22"/>
        </w:rPr>
        <w:tab/>
        <w:t>sídlem</w:t>
        <w:tab/>
        <w:tab/>
      </w:r>
    </w:p>
    <w:p>
      <w:pPr>
        <w:pStyle w:val="Normal"/>
        <w:tabs>
          <w:tab w:val="left" w:pos="567" w:leader="none"/>
        </w:tabs>
        <w:jc w:val="both"/>
        <w:rPr>
          <w:sz w:val="22"/>
        </w:rPr>
      </w:pPr>
      <w:r>
        <w:rPr>
          <w:sz w:val="22"/>
        </w:rPr>
        <w:tab/>
        <w:t>zastoupena</w:t>
        <w:tab/>
      </w:r>
    </w:p>
    <w:p>
      <w:pPr>
        <w:pStyle w:val="Normal"/>
        <w:tabs>
          <w:tab w:val="left" w:pos="567" w:leader="none"/>
        </w:tabs>
        <w:jc w:val="both"/>
        <w:rPr>
          <w:b/>
          <w:b/>
          <w:sz w:val="24"/>
        </w:rPr>
      </w:pPr>
      <w:r>
        <w:rPr>
          <w:sz w:val="22"/>
        </w:rPr>
        <w:tab/>
        <w:t xml:space="preserve">bankovní spoj. </w:t>
        <w:tab/>
      </w:r>
      <w:r>
        <w:rPr>
          <w:b/>
          <w:sz w:val="24"/>
        </w:rPr>
        <w:tab/>
        <w:tab/>
      </w:r>
    </w:p>
    <w:p>
      <w:pPr>
        <w:pStyle w:val="Normal"/>
        <w:tabs>
          <w:tab w:val="left" w:pos="567" w:leader="none"/>
        </w:tabs>
        <w:jc w:val="both"/>
        <w:rPr>
          <w:sz w:val="22"/>
        </w:rPr>
      </w:pPr>
      <w:r>
        <w:rPr>
          <w:sz w:val="22"/>
        </w:rPr>
        <w:tab/>
        <w:t>tel./e-mail</w:t>
        <w:tab/>
      </w:r>
    </w:p>
    <w:p>
      <w:pPr>
        <w:pStyle w:val="Normal"/>
        <w:tabs>
          <w:tab w:val="left" w:pos="567" w:leader="none"/>
        </w:tabs>
        <w:jc w:val="both"/>
        <w:rPr>
          <w:sz w:val="22"/>
        </w:rPr>
      </w:pPr>
      <w:r>
        <w:rPr>
          <w:sz w:val="22"/>
        </w:rPr>
        <w:tab/>
        <w:t xml:space="preserve">spol. zapsaná </w:t>
      </w:r>
    </w:p>
    <w:p>
      <w:pPr>
        <w:pStyle w:val="Normal"/>
        <w:tabs>
          <w:tab w:val="left" w:pos="567" w:leader="none"/>
        </w:tabs>
        <w:rPr>
          <w:sz w:val="22"/>
        </w:rPr>
      </w:pPr>
      <w:r>
        <w:rPr>
          <w:sz w:val="22"/>
        </w:rPr>
      </w:r>
    </w:p>
    <w:p>
      <w:pPr>
        <w:pStyle w:val="Normal"/>
        <w:tabs>
          <w:tab w:val="left" w:pos="567" w:leader="none"/>
        </w:tabs>
        <w:rPr>
          <w:sz w:val="22"/>
        </w:rPr>
      </w:pPr>
      <w:r>
        <w:rPr>
          <w:sz w:val="22"/>
        </w:rPr>
        <w:tab/>
        <w:t>(dále jen „</w:t>
      </w:r>
      <w:r>
        <w:rPr>
          <w:b/>
          <w:sz w:val="22"/>
        </w:rPr>
        <w:t>prodávající</w:t>
      </w:r>
      <w:r>
        <w:rPr>
          <w:sz w:val="22"/>
        </w:rPr>
        <w:t>“)</w:t>
      </w:r>
    </w:p>
    <w:p>
      <w:pPr>
        <w:pStyle w:val="Normal"/>
        <w:rPr>
          <w:sz w:val="22"/>
        </w:rPr>
      </w:pPr>
      <w:r>
        <w:rPr>
          <w:sz w:val="22"/>
        </w:rPr>
      </w:r>
    </w:p>
    <w:p>
      <w:pPr>
        <w:pStyle w:val="Normal"/>
        <w:rPr>
          <w:sz w:val="24"/>
        </w:rPr>
      </w:pPr>
      <w:r>
        <w:rPr>
          <w:sz w:val="24"/>
        </w:rPr>
      </w:r>
    </w:p>
    <w:p>
      <w:pPr>
        <w:pStyle w:val="Normal"/>
        <w:jc w:val="center"/>
        <w:rPr>
          <w:sz w:val="24"/>
          <w:szCs w:val="24"/>
        </w:rPr>
      </w:pPr>
      <w:r>
        <w:rPr>
          <w:b/>
          <w:sz w:val="24"/>
          <w:szCs w:val="24"/>
        </w:rPr>
        <w:t>I.</w:t>
      </w:r>
    </w:p>
    <w:p>
      <w:pPr>
        <w:pStyle w:val="Normal"/>
        <w:jc w:val="center"/>
        <w:rPr>
          <w:b/>
          <w:b/>
          <w:sz w:val="24"/>
          <w:szCs w:val="24"/>
        </w:rPr>
      </w:pPr>
      <w:r>
        <w:rPr>
          <w:b/>
          <w:sz w:val="24"/>
          <w:szCs w:val="24"/>
        </w:rPr>
        <w:t>Předmět smlouvy</w:t>
      </w:r>
    </w:p>
    <w:p>
      <w:pPr>
        <w:pStyle w:val="Normal"/>
        <w:numPr>
          <w:ilvl w:val="0"/>
          <w:numId w:val="4"/>
        </w:numPr>
        <w:spacing w:before="120" w:after="0"/>
        <w:jc w:val="both"/>
        <w:rPr/>
      </w:pPr>
      <w:r>
        <w:rPr>
          <w:sz w:val="22"/>
          <w:szCs w:val="22"/>
        </w:rPr>
        <w:t xml:space="preserve">Kupující vyhlásil zadávací řízení s názvem </w:t>
      </w:r>
      <w:r>
        <w:rPr>
          <w:b/>
          <w:sz w:val="22"/>
          <w:szCs w:val="22"/>
        </w:rPr>
        <w:t>„</w:t>
      </w:r>
      <w:r>
        <w:rPr>
          <w:b/>
          <w:bCs/>
          <w:sz w:val="22"/>
          <w:szCs w:val="22"/>
        </w:rPr>
        <w:t xml:space="preserve">POŘÍZENÍ TECHNIKY – OBEC </w:t>
      </w:r>
      <w:r>
        <w:rPr>
          <w:b/>
          <w:bCs/>
          <w:sz w:val="22"/>
          <w:szCs w:val="22"/>
        </w:rPr>
        <w:t>DOLOPLAZY</w:t>
      </w:r>
      <w:r>
        <w:rPr>
          <w:b/>
          <w:sz w:val="22"/>
          <w:szCs w:val="22"/>
        </w:rPr>
        <w:t>“</w:t>
      </w:r>
      <w:r>
        <w:rPr>
          <w:sz w:val="22"/>
          <w:szCs w:val="22"/>
        </w:rPr>
        <w:t xml:space="preserve">, kterým poptával dodávku malotraktoru, blíže specifikovaného v příloze č. 1, která tvoří nedílnou součást této smlouvy </w:t>
      </w:r>
    </w:p>
    <w:p>
      <w:pPr>
        <w:pStyle w:val="Normal"/>
        <w:spacing w:before="120" w:after="0"/>
        <w:ind w:left="510" w:hanging="0"/>
        <w:jc w:val="both"/>
        <w:rPr>
          <w:sz w:val="22"/>
        </w:rPr>
      </w:pPr>
      <w:r>
        <w:rPr>
          <w:sz w:val="22"/>
        </w:rPr>
        <w:t xml:space="preserve"> </w:t>
      </w:r>
      <w:r>
        <w:rPr>
          <w:sz w:val="22"/>
        </w:rPr>
        <w:t>(dále jen „movité věci“ nebo „předmět prodeje“).</w:t>
      </w:r>
    </w:p>
    <w:p>
      <w:pPr>
        <w:pStyle w:val="Normal"/>
        <w:numPr>
          <w:ilvl w:val="0"/>
          <w:numId w:val="4"/>
        </w:numPr>
        <w:spacing w:before="120" w:after="0"/>
        <w:jc w:val="both"/>
        <w:rPr>
          <w:sz w:val="22"/>
        </w:rPr>
      </w:pPr>
      <w:r>
        <w:rPr>
          <w:sz w:val="22"/>
        </w:rPr>
        <w:t xml:space="preserve">Prodávající prohlašuje, že je </w:t>
      </w:r>
      <w:r>
        <w:rPr>
          <w:b/>
          <w:sz w:val="22"/>
        </w:rPr>
        <w:t>majitelem movitých věcí</w:t>
      </w:r>
      <w:r>
        <w:rPr>
          <w:sz w:val="22"/>
        </w:rPr>
        <w:t xml:space="preserve"> specifikovaných blíže v příloze č. 1. </w:t>
      </w:r>
    </w:p>
    <w:p>
      <w:pPr>
        <w:pStyle w:val="Normal"/>
        <w:numPr>
          <w:ilvl w:val="0"/>
          <w:numId w:val="4"/>
        </w:numPr>
        <w:spacing w:before="120" w:after="0"/>
        <w:jc w:val="both"/>
        <w:rPr>
          <w:sz w:val="22"/>
        </w:rPr>
      </w:pPr>
      <w:r>
        <w:rPr>
          <w:b/>
          <w:sz w:val="22"/>
        </w:rPr>
        <w:t>Prodávající prodává</w:t>
      </w:r>
      <w:r>
        <w:rPr>
          <w:sz w:val="22"/>
        </w:rPr>
        <w:t xml:space="preserve"> kupujícímu předmět prodeje a kupující jej</w:t>
      </w:r>
      <w:r>
        <w:rPr>
          <w:b/>
          <w:sz w:val="22"/>
        </w:rPr>
        <w:t xml:space="preserve"> kupuje</w:t>
      </w:r>
      <w:r>
        <w:rPr>
          <w:sz w:val="22"/>
        </w:rPr>
        <w:t xml:space="preserve"> a </w:t>
      </w:r>
      <w:r>
        <w:rPr>
          <w:b/>
          <w:sz w:val="22"/>
        </w:rPr>
        <w:t>zavazuje</w:t>
      </w:r>
      <w:r>
        <w:rPr>
          <w:sz w:val="22"/>
        </w:rPr>
        <w:t xml:space="preserve"> </w:t>
      </w:r>
      <w:r>
        <w:rPr>
          <w:b/>
          <w:sz w:val="22"/>
        </w:rPr>
        <w:t>se zaplatit</w:t>
      </w:r>
      <w:r>
        <w:rPr>
          <w:sz w:val="22"/>
        </w:rPr>
        <w:t xml:space="preserve"> za něj kupní cenu sjednanou v čl. II. této smlouvy. </w:t>
      </w:r>
    </w:p>
    <w:p>
      <w:pPr>
        <w:pStyle w:val="Normal"/>
        <w:numPr>
          <w:ilvl w:val="0"/>
          <w:numId w:val="4"/>
        </w:numPr>
        <w:spacing w:before="120" w:after="0"/>
        <w:jc w:val="both"/>
        <w:rPr>
          <w:sz w:val="22"/>
        </w:rPr>
      </w:pPr>
      <w:r>
        <w:rPr>
          <w:sz w:val="22"/>
        </w:rPr>
        <w:t>Prodávající prodává kupujícímu předmět prodeje včetně všech jeho součástí a příslušenství, jakož i včetně práv a povinností s ním spojených, a to ve stavu, v jakém se nachází ke dni podpisu této smlouvy, což kupující bere podpisem této smlouvy výslovně na vědomí.</w:t>
      </w:r>
    </w:p>
    <w:p>
      <w:pPr>
        <w:pStyle w:val="Normal"/>
        <w:jc w:val="center"/>
        <w:rPr>
          <w:b/>
          <w:b/>
          <w:sz w:val="24"/>
          <w:szCs w:val="24"/>
        </w:rPr>
      </w:pPr>
      <w:r>
        <w:rPr>
          <w:b/>
          <w:sz w:val="24"/>
          <w:szCs w:val="24"/>
        </w:rPr>
      </w:r>
    </w:p>
    <w:p>
      <w:pPr>
        <w:pStyle w:val="Normal"/>
        <w:jc w:val="center"/>
        <w:rPr>
          <w:b/>
          <w:b/>
          <w:sz w:val="24"/>
          <w:szCs w:val="24"/>
        </w:rPr>
      </w:pPr>
      <w:r>
        <w:rPr>
          <w:b/>
          <w:sz w:val="24"/>
          <w:szCs w:val="24"/>
        </w:rPr>
        <w:t>II.</w:t>
      </w:r>
    </w:p>
    <w:p>
      <w:pPr>
        <w:pStyle w:val="Normal"/>
        <w:jc w:val="center"/>
        <w:rPr>
          <w:b/>
          <w:b/>
          <w:sz w:val="24"/>
          <w:szCs w:val="24"/>
        </w:rPr>
      </w:pPr>
      <w:r>
        <w:rPr>
          <w:b/>
          <w:sz w:val="24"/>
          <w:szCs w:val="24"/>
        </w:rPr>
        <w:t>Kupní cena</w:t>
      </w:r>
    </w:p>
    <w:p>
      <w:pPr>
        <w:pStyle w:val="Normal"/>
        <w:numPr>
          <w:ilvl w:val="0"/>
          <w:numId w:val="1"/>
        </w:numPr>
        <w:spacing w:before="120" w:after="0"/>
        <w:jc w:val="both"/>
        <w:rPr>
          <w:sz w:val="22"/>
        </w:rPr>
      </w:pPr>
      <w:r>
        <w:rPr>
          <w:sz w:val="22"/>
        </w:rPr>
        <w:t>Smluvní strany sjednaly cenu za předmět prodeje</w:t>
      </w:r>
      <w:r>
        <w:rPr>
          <w:b/>
          <w:sz w:val="22"/>
        </w:rPr>
        <w:t xml:space="preserve"> ve výši:</w:t>
      </w:r>
    </w:p>
    <w:p>
      <w:pPr>
        <w:pStyle w:val="Normal"/>
        <w:spacing w:before="120" w:after="0"/>
        <w:ind w:left="510" w:hanging="0"/>
        <w:jc w:val="both"/>
        <w:rPr>
          <w:sz w:val="22"/>
        </w:rPr>
      </w:pPr>
      <w:r>
        <w:rPr>
          <w:sz w:val="22"/>
        </w:rPr>
      </w:r>
    </w:p>
    <w:tbl>
      <w:tblPr>
        <w:tblW w:w="8495" w:type="dxa"/>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0" w:lastRow="1" w:firstColumn="1" w:lastColumn="1" w:noHBand="0" w:val="01e0"/>
      </w:tblPr>
      <w:tblGrid>
        <w:gridCol w:w="4411"/>
        <w:gridCol w:w="4083"/>
      </w:tblGrid>
      <w:tr>
        <w:trPr>
          <w:trHeight w:val="383" w:hRule="atLeast"/>
        </w:trPr>
        <w:tc>
          <w:tcPr>
            <w:tcW w:w="4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uppressAutoHyphens w:val="true"/>
              <w:spacing w:lineRule="atLeast" w:line="240" w:before="0" w:after="80"/>
              <w:rPr>
                <w:b/>
                <w:b/>
                <w:sz w:val="22"/>
                <w:szCs w:val="22"/>
              </w:rPr>
            </w:pPr>
            <w:r>
              <w:rPr>
                <w:b/>
                <w:sz w:val="22"/>
                <w:szCs w:val="22"/>
              </w:rPr>
              <w:t>Cena celkem v Kč bez DPH</w:t>
            </w:r>
          </w:p>
        </w:tc>
        <w:tc>
          <w:tcPr>
            <w:tcW w:w="4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uppressAutoHyphens w:val="true"/>
              <w:spacing w:lineRule="atLeast" w:line="240" w:before="0" w:after="80"/>
              <w:jc w:val="right"/>
              <w:rPr>
                <w:b/>
                <w:b/>
                <w:color w:val="FF0000"/>
                <w:sz w:val="22"/>
                <w:szCs w:val="22"/>
              </w:rPr>
            </w:pPr>
            <w:r>
              <w:rPr>
                <w:b/>
                <w:color w:val="000000" w:themeColor="text1"/>
                <w:sz w:val="22"/>
                <w:szCs w:val="22"/>
                <w:highlight w:val="lightGray"/>
              </w:rPr>
              <w:t>Kč</w:t>
            </w:r>
            <w:r>
              <w:rPr>
                <w:b/>
                <w:color w:val="000000" w:themeColor="text1"/>
                <w:sz w:val="22"/>
                <w:szCs w:val="22"/>
              </w:rPr>
              <w:t xml:space="preserve">   </w:t>
            </w:r>
          </w:p>
        </w:tc>
      </w:tr>
      <w:tr>
        <w:trPr>
          <w:trHeight w:val="383" w:hRule="atLeast"/>
        </w:trPr>
        <w:tc>
          <w:tcPr>
            <w:tcW w:w="4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tLeast" w:line="240" w:before="0" w:after="80"/>
              <w:rPr/>
            </w:pPr>
            <w:r>
              <w:rPr>
                <w:sz w:val="22"/>
                <w:szCs w:val="22"/>
              </w:rPr>
              <w:t>DPH samostatně, sazba 21 %</w:t>
            </w:r>
          </w:p>
        </w:tc>
        <w:tc>
          <w:tcPr>
            <w:tcW w:w="4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tLeast" w:line="240" w:before="0" w:after="80"/>
              <w:jc w:val="right"/>
              <w:rPr>
                <w:color w:val="000000" w:themeColor="text1"/>
                <w:sz w:val="22"/>
                <w:szCs w:val="22"/>
              </w:rPr>
            </w:pPr>
            <w:r>
              <w:rPr>
                <w:color w:val="000000" w:themeColor="text1"/>
                <w:sz w:val="22"/>
                <w:szCs w:val="22"/>
              </w:rPr>
              <w:t>Kč</w:t>
            </w:r>
          </w:p>
        </w:tc>
      </w:tr>
      <w:tr>
        <w:trPr>
          <w:trHeight w:val="383" w:hRule="atLeast"/>
        </w:trPr>
        <w:tc>
          <w:tcPr>
            <w:tcW w:w="4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tLeast" w:line="240" w:before="0" w:after="80"/>
              <w:rPr>
                <w:sz w:val="22"/>
                <w:szCs w:val="22"/>
              </w:rPr>
            </w:pPr>
            <w:r>
              <w:rPr>
                <w:sz w:val="22"/>
                <w:szCs w:val="22"/>
              </w:rPr>
              <w:t>Cena celkem včetně DPH</w:t>
            </w:r>
          </w:p>
        </w:tc>
        <w:tc>
          <w:tcPr>
            <w:tcW w:w="4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spacing w:lineRule="atLeast" w:line="240" w:before="0" w:after="80"/>
              <w:jc w:val="right"/>
              <w:rPr/>
            </w:pPr>
            <w:r>
              <w:rPr>
                <w:color w:val="000000" w:themeColor="text1"/>
                <w:sz w:val="22"/>
                <w:szCs w:val="22"/>
              </w:rPr>
              <w:t>Kč</w:t>
            </w:r>
          </w:p>
        </w:tc>
      </w:tr>
    </w:tbl>
    <w:p>
      <w:pPr>
        <w:pStyle w:val="Normal"/>
        <w:spacing w:before="120" w:after="0"/>
        <w:ind w:left="510" w:hanging="0"/>
        <w:jc w:val="both"/>
        <w:rPr>
          <w:sz w:val="22"/>
        </w:rPr>
      </w:pPr>
      <w:r>
        <w:rPr>
          <w:sz w:val="22"/>
        </w:rPr>
        <w:t xml:space="preserve"> </w:t>
      </w:r>
      <w:r>
        <w:rPr>
          <w:sz w:val="22"/>
        </w:rPr>
        <w:t>Cena je konečná včetně všech poplatků a daní.</w:t>
      </w:r>
    </w:p>
    <w:p>
      <w:pPr>
        <w:pStyle w:val="Normal"/>
        <w:numPr>
          <w:ilvl w:val="0"/>
          <w:numId w:val="1"/>
        </w:numPr>
        <w:spacing w:before="120" w:after="0"/>
        <w:jc w:val="both"/>
        <w:rPr>
          <w:sz w:val="22"/>
        </w:rPr>
      </w:pPr>
      <w:r>
        <w:rPr>
          <w:sz w:val="22"/>
        </w:rPr>
        <w:t xml:space="preserve">Dohodnutou kupní cenu </w:t>
      </w:r>
      <w:r>
        <w:rPr>
          <w:b/>
          <w:sz w:val="22"/>
        </w:rPr>
        <w:t>zaplatí kupující</w:t>
      </w:r>
      <w:r>
        <w:rPr>
          <w:sz w:val="22"/>
        </w:rPr>
        <w:t xml:space="preserve"> prodávajícímu nejpozději do 30 dnů od předání sestaveného předmětu prodeje v řádném stavu, a to bezhotovostně na účet prodávajícího uvedený v záhlaví této smlouvy.</w:t>
      </w:r>
    </w:p>
    <w:p>
      <w:pPr>
        <w:pStyle w:val="Normal"/>
        <w:numPr>
          <w:ilvl w:val="0"/>
          <w:numId w:val="1"/>
        </w:numPr>
        <w:spacing w:before="120" w:after="0"/>
        <w:jc w:val="both"/>
        <w:rPr>
          <w:sz w:val="22"/>
        </w:rPr>
      </w:pPr>
      <w:r>
        <w:rPr>
          <w:sz w:val="22"/>
        </w:rPr>
        <w:t>Sjednaná kupní cena zahrnuje zejména:</w:t>
      </w:r>
    </w:p>
    <w:p>
      <w:pPr>
        <w:pStyle w:val="Normal"/>
        <w:numPr>
          <w:ilvl w:val="2"/>
          <w:numId w:val="1"/>
        </w:numPr>
        <w:spacing w:before="120" w:after="0"/>
        <w:jc w:val="both"/>
        <w:rPr>
          <w:sz w:val="22"/>
        </w:rPr>
      </w:pPr>
      <w:r>
        <w:rPr>
          <w:sz w:val="22"/>
          <w:szCs w:val="22"/>
        </w:rPr>
        <w:t>dodávku a sestavení předmětu prodeje v místě plnění (dále také „sestavení předmětu prodeje“),</w:t>
      </w:r>
    </w:p>
    <w:p>
      <w:pPr>
        <w:pStyle w:val="Normal"/>
        <w:numPr>
          <w:ilvl w:val="2"/>
          <w:numId w:val="1"/>
        </w:numPr>
        <w:spacing w:before="120" w:after="0"/>
        <w:jc w:val="both"/>
        <w:rPr>
          <w:sz w:val="22"/>
        </w:rPr>
      </w:pPr>
      <w:r>
        <w:rPr>
          <w:sz w:val="22"/>
          <w:szCs w:val="22"/>
        </w:rPr>
        <w:t xml:space="preserve">manipulaci s předmětem prodeje, </w:t>
      </w:r>
    </w:p>
    <w:p>
      <w:pPr>
        <w:pStyle w:val="Normal"/>
        <w:numPr>
          <w:ilvl w:val="2"/>
          <w:numId w:val="1"/>
        </w:numPr>
        <w:spacing w:before="120" w:after="0"/>
        <w:jc w:val="both"/>
        <w:rPr>
          <w:sz w:val="22"/>
        </w:rPr>
      </w:pPr>
      <w:r>
        <w:rPr>
          <w:sz w:val="22"/>
          <w:szCs w:val="22"/>
        </w:rPr>
        <w:t xml:space="preserve">dopravu předmětu prodeje na místo určení, včetně cestovních výloh osob zajišťujících přepravu a sestavení předmětu prodeje, </w:t>
      </w:r>
    </w:p>
    <w:p>
      <w:pPr>
        <w:pStyle w:val="Normal"/>
        <w:numPr>
          <w:ilvl w:val="2"/>
          <w:numId w:val="1"/>
        </w:numPr>
        <w:spacing w:before="120" w:after="0"/>
        <w:jc w:val="both"/>
        <w:rPr>
          <w:sz w:val="22"/>
        </w:rPr>
      </w:pPr>
      <w:r>
        <w:rPr>
          <w:sz w:val="22"/>
          <w:szCs w:val="22"/>
        </w:rPr>
        <w:t xml:space="preserve">zkušební provoz v rámci předvedení všech funkcí stroje, </w:t>
      </w:r>
    </w:p>
    <w:p>
      <w:pPr>
        <w:pStyle w:val="Normal"/>
        <w:numPr>
          <w:ilvl w:val="2"/>
          <w:numId w:val="1"/>
        </w:numPr>
        <w:spacing w:before="120" w:after="0"/>
        <w:jc w:val="both"/>
        <w:rPr>
          <w:sz w:val="22"/>
        </w:rPr>
      </w:pPr>
      <w:r>
        <w:rPr>
          <w:sz w:val="22"/>
          <w:szCs w:val="22"/>
        </w:rPr>
        <w:t>zaškolení obsluhy v počtu min. 2 pracovníků po dobu min 3</w:t>
      </w:r>
      <w:bookmarkStart w:id="0" w:name="_GoBack"/>
      <w:bookmarkEnd w:id="0"/>
      <w:r>
        <w:rPr>
          <w:sz w:val="22"/>
          <w:szCs w:val="22"/>
        </w:rPr>
        <w:t>0 minut.</w:t>
      </w:r>
    </w:p>
    <w:p>
      <w:pPr>
        <w:pStyle w:val="Normal"/>
        <w:numPr>
          <w:ilvl w:val="2"/>
          <w:numId w:val="1"/>
        </w:numPr>
        <w:spacing w:before="120" w:after="0"/>
        <w:jc w:val="both"/>
        <w:rPr>
          <w:sz w:val="22"/>
        </w:rPr>
      </w:pPr>
      <w:r>
        <w:rPr>
          <w:sz w:val="22"/>
          <w:szCs w:val="22"/>
        </w:rPr>
        <w:t>dodání dokumentace k předmětu prodeje v českém jazyce, jako je zejména:</w:t>
      </w:r>
    </w:p>
    <w:p>
      <w:pPr>
        <w:pStyle w:val="Normal"/>
        <w:numPr>
          <w:ilvl w:val="3"/>
          <w:numId w:val="1"/>
        </w:numPr>
        <w:jc w:val="both"/>
        <w:rPr>
          <w:sz w:val="22"/>
        </w:rPr>
      </w:pPr>
      <w:r>
        <w:rPr>
          <w:sz w:val="22"/>
          <w:szCs w:val="22"/>
        </w:rPr>
        <w:t>záruční list,</w:t>
      </w:r>
    </w:p>
    <w:p>
      <w:pPr>
        <w:pStyle w:val="Normal"/>
        <w:numPr>
          <w:ilvl w:val="3"/>
          <w:numId w:val="1"/>
        </w:numPr>
        <w:jc w:val="both"/>
        <w:rPr>
          <w:sz w:val="22"/>
        </w:rPr>
      </w:pPr>
      <w:r>
        <w:rPr>
          <w:sz w:val="22"/>
          <w:szCs w:val="22"/>
        </w:rPr>
        <w:t>prohlášení o shodě výrobku,</w:t>
      </w:r>
    </w:p>
    <w:p>
      <w:pPr>
        <w:pStyle w:val="Normal"/>
        <w:numPr>
          <w:ilvl w:val="3"/>
          <w:numId w:val="1"/>
        </w:numPr>
        <w:jc w:val="both"/>
        <w:rPr>
          <w:sz w:val="22"/>
        </w:rPr>
      </w:pPr>
      <w:r>
        <w:rPr>
          <w:sz w:val="22"/>
          <w:szCs w:val="22"/>
        </w:rPr>
        <w:t>kompletní technická dokumentace,</w:t>
      </w:r>
    </w:p>
    <w:p>
      <w:pPr>
        <w:pStyle w:val="Normal"/>
        <w:numPr>
          <w:ilvl w:val="3"/>
          <w:numId w:val="1"/>
        </w:numPr>
        <w:jc w:val="both"/>
        <w:rPr>
          <w:sz w:val="22"/>
        </w:rPr>
      </w:pPr>
      <w:r>
        <w:rPr>
          <w:sz w:val="22"/>
          <w:szCs w:val="22"/>
        </w:rPr>
        <w:t>technický průkaz,</w:t>
      </w:r>
    </w:p>
    <w:p>
      <w:pPr>
        <w:pStyle w:val="Normal"/>
        <w:numPr>
          <w:ilvl w:val="3"/>
          <w:numId w:val="1"/>
        </w:numPr>
        <w:jc w:val="both"/>
        <w:rPr>
          <w:sz w:val="22"/>
        </w:rPr>
      </w:pPr>
      <w:r>
        <w:rPr>
          <w:sz w:val="22"/>
          <w:szCs w:val="22"/>
        </w:rPr>
        <w:t>návod k obsluze.</w:t>
      </w:r>
    </w:p>
    <w:p>
      <w:pPr>
        <w:pStyle w:val="Normal"/>
        <w:numPr>
          <w:ilvl w:val="0"/>
          <w:numId w:val="1"/>
        </w:numPr>
        <w:spacing w:before="120" w:after="0"/>
        <w:jc w:val="both"/>
        <w:rPr>
          <w:sz w:val="22"/>
        </w:rPr>
      </w:pPr>
      <w:r>
        <w:rPr>
          <w:sz w:val="22"/>
        </w:rPr>
        <w:t xml:space="preserve">Prodávajícímu vznikne nárok na úhradu kupní ceny, tzn. i na vystavení daňového dokladu na kupní cenu nejdříve dodáním předmětu prodeje v řádném stavu a splněním všech činností sjednaných v odst. 3. tohoto článku. </w:t>
      </w:r>
    </w:p>
    <w:p>
      <w:pPr>
        <w:pStyle w:val="Normal"/>
        <w:numPr>
          <w:ilvl w:val="0"/>
          <w:numId w:val="1"/>
        </w:numPr>
        <w:spacing w:before="120" w:after="0"/>
        <w:jc w:val="both"/>
        <w:rPr>
          <w:sz w:val="22"/>
        </w:rPr>
      </w:pPr>
      <w:r>
        <w:rPr>
          <w:sz w:val="22"/>
          <w:szCs w:val="22"/>
        </w:rPr>
        <w:t xml:space="preserve">Kupní cena se považuje za uhrazenou jejím odepsáním z účtu kupujícího. </w:t>
      </w:r>
    </w:p>
    <w:p>
      <w:pPr>
        <w:pStyle w:val="Normal"/>
        <w:jc w:val="both"/>
        <w:rPr>
          <w:sz w:val="22"/>
        </w:rPr>
      </w:pPr>
      <w:r>
        <w:rPr>
          <w:sz w:val="22"/>
        </w:rPr>
      </w:r>
    </w:p>
    <w:p>
      <w:pPr>
        <w:pStyle w:val="Normal"/>
        <w:jc w:val="center"/>
        <w:rPr>
          <w:b/>
          <w:b/>
          <w:sz w:val="24"/>
          <w:szCs w:val="24"/>
        </w:rPr>
      </w:pPr>
      <w:r>
        <w:rPr>
          <w:b/>
          <w:sz w:val="24"/>
          <w:szCs w:val="24"/>
        </w:rPr>
        <w:t>III.</w:t>
      </w:r>
    </w:p>
    <w:p>
      <w:pPr>
        <w:pStyle w:val="Normal"/>
        <w:jc w:val="center"/>
        <w:rPr>
          <w:b/>
          <w:b/>
          <w:sz w:val="24"/>
          <w:szCs w:val="24"/>
        </w:rPr>
      </w:pPr>
      <w:r>
        <w:rPr>
          <w:b/>
          <w:sz w:val="24"/>
          <w:szCs w:val="24"/>
        </w:rPr>
        <w:t>Způsob, místo a doba splnění</w:t>
      </w:r>
    </w:p>
    <w:p>
      <w:pPr>
        <w:pStyle w:val="Normal"/>
        <w:numPr>
          <w:ilvl w:val="0"/>
          <w:numId w:val="2"/>
        </w:numPr>
        <w:spacing w:before="120" w:after="0"/>
        <w:jc w:val="both"/>
        <w:rPr>
          <w:sz w:val="22"/>
        </w:rPr>
      </w:pPr>
      <w:r>
        <w:rPr>
          <w:sz w:val="22"/>
        </w:rPr>
        <w:t xml:space="preserve">Prodávající splní řádně a včas svůj závazek uvedený v čl. I. této smlouvy předáním v řádném stavu předmětu prodeje spolu s veškerým příslušenstvím kupujícímu, včetně sestavení předmětu prodeje, v místě plnění oproti oboustranně podepsanému předávacímu protokolu. Dle dohody smluvních stran se prodávající zavazuje předat předmět prodeje kupujícímu, včetně provedení činností sjednaných v čl. II. bodu 3. této smlouvy, </w:t>
      </w:r>
      <w:r>
        <w:rPr>
          <w:b/>
          <w:sz w:val="22"/>
        </w:rPr>
        <w:t>nejpozději do 30</w:t>
      </w:r>
      <w:r>
        <w:rPr>
          <w:b/>
          <w:color w:val="FF0000"/>
          <w:sz w:val="22"/>
        </w:rPr>
        <w:t xml:space="preserve"> </w:t>
      </w:r>
      <w:r>
        <w:rPr>
          <w:b/>
          <w:sz w:val="22"/>
        </w:rPr>
        <w:t>kalendářních dnů od podpisu této smlouvy.</w:t>
      </w:r>
      <w:r>
        <w:rPr>
          <w:sz w:val="22"/>
        </w:rPr>
        <w:t xml:space="preserve"> </w:t>
      </w:r>
    </w:p>
    <w:p>
      <w:pPr>
        <w:pStyle w:val="Normal"/>
        <w:numPr>
          <w:ilvl w:val="0"/>
          <w:numId w:val="2"/>
        </w:numPr>
        <w:spacing w:before="120" w:after="0"/>
        <w:jc w:val="both"/>
        <w:rPr>
          <w:sz w:val="22"/>
        </w:rPr>
      </w:pPr>
      <w:r>
        <w:rPr>
          <w:sz w:val="22"/>
        </w:rPr>
        <w:t xml:space="preserve">Smluvní strany se dohodly, že </w:t>
      </w:r>
      <w:r>
        <w:rPr>
          <w:b/>
          <w:sz w:val="22"/>
        </w:rPr>
        <w:t>místem plnění</w:t>
      </w:r>
      <w:r>
        <w:rPr>
          <w:sz w:val="22"/>
        </w:rPr>
        <w:t xml:space="preserve"> a převzetí předmětu prodeje je </w:t>
      </w:r>
      <w:r>
        <w:rPr>
          <w:sz w:val="22"/>
        </w:rPr>
        <w:t xml:space="preserve">Obecní úřad Doloplazy, Doloplazy 82, psć 78356 </w:t>
      </w:r>
      <w:r>
        <w:rPr>
          <w:sz w:val="22"/>
          <w:szCs w:val="22"/>
        </w:rPr>
        <w:t>(v textu smlouvy jako „místo plnění“).</w:t>
      </w:r>
    </w:p>
    <w:p>
      <w:pPr>
        <w:pStyle w:val="Normal"/>
        <w:widowControl w:val="false"/>
        <w:numPr>
          <w:ilvl w:val="0"/>
          <w:numId w:val="2"/>
        </w:numPr>
        <w:suppressAutoHyphens w:val="true"/>
        <w:spacing w:before="120" w:after="0"/>
        <w:jc w:val="both"/>
        <w:rPr>
          <w:sz w:val="22"/>
          <w:szCs w:val="22"/>
        </w:rPr>
      </w:pPr>
      <w:r>
        <w:rPr>
          <w:sz w:val="22"/>
          <w:szCs w:val="22"/>
        </w:rPr>
        <w:t xml:space="preserve">Prodávající oznámí kupujícímu termín dodání písemně prostřednictvím pošty nebo e-mailu, příp. telefonicky. Smluvní strany se zavazují nejpozději do tří dnů ode dne tohoto oznámení dohodnout (e-mailem, příp. telefonicky) přesný termín předání a převzetí předmětu prodeje tak, aby bylo možno uskutečnit dodání a převzetí předmětu prodeje v čase plnění dle bodu 1. tohoto článku smlouvy. V případě, že se smluvní strany do tří dnů ode dne oznámení nedohodnou, platí, že termín dodání a převzetí předmětu prodeje je pátý pracovní den ode dne oznámení kupujícímu dle tohoto bodu smlouvy o možnosti dodání předmětu prodeje. </w:t>
      </w:r>
    </w:p>
    <w:p>
      <w:pPr>
        <w:pStyle w:val="Normal"/>
        <w:widowControl w:val="false"/>
        <w:numPr>
          <w:ilvl w:val="0"/>
          <w:numId w:val="2"/>
        </w:numPr>
        <w:suppressAutoHyphens w:val="true"/>
        <w:spacing w:before="120" w:after="0"/>
        <w:jc w:val="both"/>
        <w:rPr>
          <w:sz w:val="22"/>
          <w:szCs w:val="22"/>
        </w:rPr>
      </w:pPr>
      <w:r>
        <w:rPr>
          <w:sz w:val="22"/>
          <w:szCs w:val="22"/>
        </w:rPr>
        <w:t xml:space="preserve">Kupující se zavazuje poskytnout prodávajícímu součinnost nutnou ke splnění jeho závazků vyplývajících z této smlouvy.   </w:t>
      </w:r>
    </w:p>
    <w:p>
      <w:pPr>
        <w:pStyle w:val="Normal"/>
        <w:numPr>
          <w:ilvl w:val="0"/>
          <w:numId w:val="2"/>
        </w:numPr>
        <w:spacing w:before="120" w:after="0"/>
        <w:jc w:val="both"/>
        <w:rPr>
          <w:sz w:val="22"/>
        </w:rPr>
      </w:pPr>
      <w:r>
        <w:rPr>
          <w:sz w:val="22"/>
        </w:rPr>
        <w:t>Kupující je povinen předmět prodeje v dohodnuté době řádně převzít a potvrdit předávací protokol. V případě, že tak bezdůvodně neučiní nebo předmět prodeje odmítne převzít, má prodávající právo plnit náhradním uskladněním. Odesláním výzvy k převzetí předmětu prodeje prodávající uvědomí kupujícího nejpozději do 15 dnů od marného uplynutí lhůty k převzetí předmětu prodeje o náhradním uskladnění a o zamýšleném prodeji tohoto předmětu prodeje.</w:t>
      </w:r>
    </w:p>
    <w:p>
      <w:pPr>
        <w:pStyle w:val="Normal"/>
        <w:numPr>
          <w:ilvl w:val="0"/>
          <w:numId w:val="2"/>
        </w:numPr>
        <w:spacing w:before="120" w:after="0"/>
        <w:jc w:val="both"/>
        <w:rPr>
          <w:sz w:val="22"/>
        </w:rPr>
      </w:pPr>
      <w:r>
        <w:rPr>
          <w:sz w:val="22"/>
        </w:rPr>
        <w:t xml:space="preserve">Nebezpečí škody na předmětu prodeje a vlastnické právo k předmětu prodeje přechází z prodávajícího na kupujícího okamžikem fyzického předání a převzetí předmětu prodeje.  </w:t>
      </w:r>
    </w:p>
    <w:p>
      <w:pPr>
        <w:pStyle w:val="Normal"/>
        <w:numPr>
          <w:ilvl w:val="0"/>
          <w:numId w:val="2"/>
        </w:numPr>
        <w:spacing w:before="120" w:after="0"/>
        <w:jc w:val="both"/>
        <w:rPr>
          <w:sz w:val="22"/>
        </w:rPr>
      </w:pPr>
      <w:r>
        <w:rPr>
          <w:sz w:val="22"/>
          <w:szCs w:val="22"/>
        </w:rPr>
        <w:t>Pro případ prodlení s úhradou kupní ceny nebo její části dle této smlouvy sjednávají smluvní strany smluvní pokutu ve výši 0,05 % z dlužné částky za každý i započatý den prodlení.</w:t>
      </w:r>
    </w:p>
    <w:p>
      <w:pPr>
        <w:pStyle w:val="Normal"/>
        <w:numPr>
          <w:ilvl w:val="0"/>
          <w:numId w:val="2"/>
        </w:numPr>
        <w:spacing w:before="120" w:after="0"/>
        <w:jc w:val="both"/>
        <w:rPr>
          <w:sz w:val="22"/>
        </w:rPr>
      </w:pPr>
      <w:r>
        <w:rPr>
          <w:sz w:val="22"/>
          <w:szCs w:val="22"/>
        </w:rPr>
        <w:t>Pro případ prodlení prodávajícího se splněním této smlouvy, tzn. dodávkou předmětu prodeje v řádném stavu a splněním povinností sjednaných v této smlouvě, vznikne kupujícímu nárok na smluvní pokutu ve výši 0,05 % z kupní ceny vč. DPH za každý i započatý den prodlení.</w:t>
      </w:r>
    </w:p>
    <w:p>
      <w:pPr>
        <w:pStyle w:val="Normal"/>
        <w:numPr>
          <w:ilvl w:val="0"/>
          <w:numId w:val="2"/>
        </w:numPr>
        <w:spacing w:before="120" w:after="0"/>
        <w:jc w:val="both"/>
        <w:rPr>
          <w:sz w:val="22"/>
        </w:rPr>
      </w:pPr>
      <w:r>
        <w:rPr>
          <w:sz w:val="22"/>
          <w:szCs w:val="22"/>
        </w:rPr>
        <w:t xml:space="preserve">Bude-li prodávající v prodlení s plněním této smlouvy po dobu delší než 30 dnů, je kupující oprávněn odstoupit od této smlouvy. </w:t>
      </w:r>
    </w:p>
    <w:p>
      <w:pPr>
        <w:pStyle w:val="Normal"/>
        <w:spacing w:before="120" w:after="0"/>
        <w:jc w:val="both"/>
        <w:rPr>
          <w:sz w:val="22"/>
        </w:rPr>
      </w:pPr>
      <w:r>
        <w:rPr>
          <w:sz w:val="22"/>
        </w:rPr>
      </w:r>
    </w:p>
    <w:p>
      <w:pPr>
        <w:pStyle w:val="Normal"/>
        <w:jc w:val="center"/>
        <w:rPr>
          <w:b/>
          <w:b/>
          <w:sz w:val="24"/>
          <w:szCs w:val="24"/>
        </w:rPr>
      </w:pPr>
      <w:r>
        <w:rPr>
          <w:b/>
          <w:sz w:val="24"/>
          <w:szCs w:val="24"/>
        </w:rPr>
        <w:t>IV.</w:t>
      </w:r>
    </w:p>
    <w:p>
      <w:pPr>
        <w:pStyle w:val="Normal"/>
        <w:jc w:val="center"/>
        <w:rPr>
          <w:b/>
          <w:b/>
          <w:sz w:val="24"/>
          <w:szCs w:val="24"/>
        </w:rPr>
      </w:pPr>
      <w:r>
        <w:rPr>
          <w:b/>
          <w:sz w:val="24"/>
          <w:szCs w:val="24"/>
        </w:rPr>
        <w:t>Záruka a reklamace</w:t>
      </w:r>
    </w:p>
    <w:p>
      <w:pPr>
        <w:pStyle w:val="Normal"/>
        <w:widowControl w:val="false"/>
        <w:numPr>
          <w:ilvl w:val="0"/>
          <w:numId w:val="5"/>
        </w:numPr>
        <w:tabs>
          <w:tab w:val="clear" w:pos="708"/>
        </w:tabs>
        <w:suppressAutoHyphens w:val="true"/>
        <w:spacing w:before="120" w:after="0"/>
        <w:jc w:val="both"/>
        <w:rPr>
          <w:sz w:val="22"/>
          <w:szCs w:val="22"/>
        </w:rPr>
      </w:pPr>
      <w:r>
        <w:rPr>
          <w:sz w:val="22"/>
          <w:szCs w:val="22"/>
        </w:rPr>
        <w:t xml:space="preserve">Prodávající odpovídá kupujícímu za to, že předmět prodeje nemá při převzetí vady. Zejména prodávající odpovídá kupujícímu za to, že předmět prodeje v době, kdy je kupující převzal, odpovídá požadované jakosti a provedení. </w:t>
      </w:r>
    </w:p>
    <w:p>
      <w:pPr>
        <w:pStyle w:val="Normal"/>
        <w:numPr>
          <w:ilvl w:val="0"/>
          <w:numId w:val="5"/>
        </w:numPr>
        <w:tabs>
          <w:tab w:val="clear" w:pos="708"/>
        </w:tabs>
        <w:spacing w:before="120" w:after="0"/>
        <w:jc w:val="both"/>
        <w:rPr>
          <w:sz w:val="22"/>
        </w:rPr>
      </w:pPr>
      <w:r>
        <w:rPr>
          <w:sz w:val="22"/>
        </w:rPr>
        <w:t xml:space="preserve">Předmět prodeje bude dodán nový, v nejvyšší možné kvalitě odpovídající příslušným právním předpisům a technickým normám, způsobilý k použití k účelu, k němuž je určen. Záruční doba na předmět prodeje je nejméně </w:t>
      </w:r>
      <w:r>
        <w:rPr>
          <w:sz w:val="22"/>
          <w:highlight w:val="lightGray"/>
        </w:rPr>
        <w:t>24 měsíců</w:t>
      </w:r>
      <w:r>
        <w:rPr>
          <w:sz w:val="22"/>
        </w:rPr>
        <w:t xml:space="preserve"> ode dne jeho převzetí v řádném stavu kupujícím.</w:t>
      </w:r>
    </w:p>
    <w:p>
      <w:pPr>
        <w:pStyle w:val="Normal"/>
        <w:numPr>
          <w:ilvl w:val="0"/>
          <w:numId w:val="5"/>
        </w:numPr>
        <w:spacing w:before="120" w:after="0"/>
        <w:jc w:val="both"/>
        <w:rPr>
          <w:sz w:val="22"/>
        </w:rPr>
      </w:pPr>
      <w:r>
        <w:rPr>
          <w:sz w:val="22"/>
        </w:rPr>
        <w:t>Kupující je povinen provést při přejímce jeho řádnou kontrolu.</w:t>
      </w:r>
    </w:p>
    <w:p>
      <w:pPr>
        <w:pStyle w:val="Normal"/>
        <w:numPr>
          <w:ilvl w:val="1"/>
          <w:numId w:val="5"/>
        </w:numPr>
        <w:tabs>
          <w:tab w:val="clear" w:pos="708"/>
        </w:tabs>
        <w:spacing w:before="60" w:after="0"/>
        <w:jc w:val="both"/>
        <w:rPr>
          <w:sz w:val="22"/>
        </w:rPr>
      </w:pPr>
      <w:r>
        <w:rPr>
          <w:b/>
          <w:sz w:val="22"/>
        </w:rPr>
        <w:t>Zjevné vady</w:t>
      </w:r>
      <w:r>
        <w:rPr>
          <w:sz w:val="22"/>
        </w:rPr>
        <w:t xml:space="preserve">, spočívající zejména ve vadách vzhledu předmětu prodeje, je povinen ihned reklamovat zápisem do předávacího protokolu. </w:t>
      </w:r>
    </w:p>
    <w:p>
      <w:pPr>
        <w:pStyle w:val="Normal"/>
        <w:numPr>
          <w:ilvl w:val="1"/>
          <w:numId w:val="5"/>
        </w:numPr>
        <w:tabs>
          <w:tab w:val="clear" w:pos="708"/>
        </w:tabs>
        <w:spacing w:before="60" w:after="0"/>
        <w:jc w:val="both"/>
        <w:rPr>
          <w:sz w:val="22"/>
        </w:rPr>
      </w:pPr>
      <w:r>
        <w:rPr>
          <w:b/>
          <w:sz w:val="22"/>
        </w:rPr>
        <w:t>Skryté vady</w:t>
      </w:r>
      <w:r>
        <w:rPr>
          <w:sz w:val="22"/>
        </w:rPr>
        <w:t>, nezjistitelné běžnou prohlídkou nebo vady, které se projeví či vzniknou později, je oprávněn kupující reklamovat do 30 dnů od jejich zjištění nebo od okamžiku, kdy mohly být při náležité odborné péči zjištěny, nejpozději však do konce záruční doby. Reklamace může být učiněna telefonickým oznámením nebo e-mailem. O učiněné reklamaci smluvní strany sepíší reklamační protokol, ve kterém prodávající uvede, zda reklamaci uznává, případně důvody pro které ji neuznává. Prodávající se zavazuje reklamaci odstranit do 30 dnů od jejího přijetí. Smluvní strany se výslovně dohodly na vyloučení ustanovení § 1921 odst. 3 a § 2112 z. č. 89/2012 Sb.</w:t>
      </w:r>
    </w:p>
    <w:p>
      <w:pPr>
        <w:pStyle w:val="Normal"/>
        <w:numPr>
          <w:ilvl w:val="0"/>
          <w:numId w:val="5"/>
        </w:numPr>
        <w:spacing w:before="60" w:after="0"/>
        <w:jc w:val="both"/>
        <w:rPr>
          <w:sz w:val="22"/>
        </w:rPr>
      </w:pPr>
      <w:r>
        <w:rPr>
          <w:sz w:val="22"/>
        </w:rPr>
        <w:t>Prodávající prohlašuje, že:</w:t>
      </w:r>
    </w:p>
    <w:p>
      <w:pPr>
        <w:pStyle w:val="Normal"/>
        <w:numPr>
          <w:ilvl w:val="1"/>
          <w:numId w:val="5"/>
        </w:numPr>
        <w:spacing w:before="60" w:after="0"/>
        <w:jc w:val="both"/>
        <w:rPr>
          <w:sz w:val="22"/>
        </w:rPr>
      </w:pPr>
      <w:r>
        <w:rPr>
          <w:sz w:val="22"/>
        </w:rPr>
        <w:t>na předmětu prodeje neváznou ke dni uzavření této smlouvy žádné právní závady, zejména žádné závazky, zástavní práva, budoucí zástavní práva, podzástavní práva, předkupní práva, zákaz zcizení nebo zatížení, nájemní práva nebo jiná omezení ve prospěch třetích osob.</w:t>
      </w:r>
    </w:p>
    <w:p>
      <w:pPr>
        <w:pStyle w:val="Normal"/>
        <w:numPr>
          <w:ilvl w:val="1"/>
          <w:numId w:val="5"/>
        </w:numPr>
        <w:spacing w:before="60" w:after="0"/>
        <w:jc w:val="both"/>
        <w:rPr>
          <w:sz w:val="22"/>
        </w:rPr>
      </w:pPr>
      <w:r>
        <w:rPr>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p>
    <w:p>
      <w:pPr>
        <w:pStyle w:val="Normal"/>
        <w:numPr>
          <w:ilvl w:val="1"/>
          <w:numId w:val="5"/>
        </w:numPr>
        <w:spacing w:before="60" w:after="0"/>
        <w:jc w:val="both"/>
        <w:rPr>
          <w:sz w:val="22"/>
        </w:rPr>
      </w:pPr>
      <w:r>
        <w:rPr>
          <w:sz w:val="22"/>
        </w:rPr>
        <w:t>předmět prodeje není v okamžiku uzavření této smlouvy předmětem konkurzního, insolvenčního, vyrovnávacího, exekučního nebo podobného řízení a že předmět prodeje nebyl vložen jako nepeněžitý vklad do základního kapitálu prodávajícího,</w:t>
      </w:r>
    </w:p>
    <w:p>
      <w:pPr>
        <w:pStyle w:val="Normal"/>
        <w:numPr>
          <w:ilvl w:val="1"/>
          <w:numId w:val="5"/>
        </w:numPr>
        <w:spacing w:before="60" w:after="0"/>
        <w:jc w:val="both"/>
        <w:rPr>
          <w:sz w:val="22"/>
        </w:rPr>
      </w:pPr>
      <w:r>
        <w:rPr>
          <w:sz w:val="22"/>
        </w:rPr>
        <w:t>prodávající není v úpadku ani v hrozícím úpadku.</w:t>
      </w:r>
    </w:p>
    <w:p>
      <w:pPr>
        <w:pStyle w:val="Normal"/>
        <w:numPr>
          <w:ilvl w:val="0"/>
          <w:numId w:val="5"/>
        </w:numPr>
        <w:spacing w:before="60" w:after="0"/>
        <w:jc w:val="both"/>
        <w:rPr>
          <w:sz w:val="22"/>
        </w:rPr>
      </w:pPr>
      <w:r>
        <w:rPr>
          <w:sz w:val="22"/>
        </w:rPr>
        <w:t>Prokáže-li se některé z prohlášení prodávajícího uvedené v čl. I. odst. 2 a čl. IV. odst. 4. této smlouvy jako nepřesné, nepravdivé, případně neúplné, je prodávající oprávněn odstoupit od této smlouvy a/nebo požadovat náhradu škody mu tím způsobenou.</w:t>
      </w:r>
    </w:p>
    <w:p>
      <w:pPr>
        <w:pStyle w:val="Normal"/>
        <w:tabs>
          <w:tab w:val="left" w:pos="425" w:leader="none"/>
          <w:tab w:val="left" w:pos="567" w:leader="none"/>
          <w:tab w:val="left" w:pos="2197" w:leader="none"/>
          <w:tab w:val="left" w:pos="4606" w:leader="none"/>
          <w:tab w:val="left" w:pos="5032" w:leader="none"/>
          <w:tab w:val="left" w:pos="6804" w:leader="none"/>
        </w:tabs>
        <w:ind w:left="425" w:hanging="425"/>
        <w:rPr>
          <w:b/>
          <w:b/>
          <w:sz w:val="22"/>
        </w:rPr>
      </w:pPr>
      <w:r>
        <w:rPr>
          <w:b/>
          <w:sz w:val="22"/>
        </w:rPr>
      </w:r>
    </w:p>
    <w:p>
      <w:pPr>
        <w:pStyle w:val="Normal"/>
        <w:jc w:val="center"/>
        <w:rPr>
          <w:b/>
          <w:b/>
          <w:sz w:val="24"/>
          <w:szCs w:val="24"/>
        </w:rPr>
      </w:pPr>
      <w:r>
        <w:rPr>
          <w:b/>
          <w:sz w:val="24"/>
          <w:szCs w:val="24"/>
        </w:rPr>
        <w:t>V.</w:t>
      </w:r>
    </w:p>
    <w:p>
      <w:pPr>
        <w:pStyle w:val="Normal"/>
        <w:jc w:val="center"/>
        <w:rPr>
          <w:b/>
          <w:b/>
          <w:sz w:val="24"/>
          <w:szCs w:val="24"/>
        </w:rPr>
      </w:pPr>
      <w:r>
        <w:rPr>
          <w:b/>
          <w:sz w:val="24"/>
          <w:szCs w:val="24"/>
        </w:rPr>
        <w:t>Závěrečná ujednání</w:t>
      </w:r>
    </w:p>
    <w:p>
      <w:pPr>
        <w:pStyle w:val="Tlotextu"/>
        <w:numPr>
          <w:ilvl w:val="0"/>
          <w:numId w:val="3"/>
        </w:numPr>
        <w:spacing w:before="120" w:after="0"/>
        <w:jc w:val="both"/>
        <w:rPr>
          <w:sz w:val="22"/>
          <w:szCs w:val="22"/>
        </w:rPr>
      </w:pPr>
      <w:r>
        <w:rPr>
          <w:sz w:val="22"/>
          <w:szCs w:val="22"/>
        </w:rPr>
        <w:t xml:space="preserve">Pokud nebylo v této smlouvě výslovně ujednáno jinak, platí v ostatním příslušná ustanovení z. č. 89/2012 Sb., Občanského zákoníku a předpisů souvisejících, </w:t>
      </w:r>
      <w:r>
        <w:rPr>
          <w:bCs/>
          <w:sz w:val="22"/>
          <w:szCs w:val="22"/>
        </w:rPr>
        <w:t>vše</w:t>
      </w:r>
      <w:r>
        <w:rPr>
          <w:sz w:val="22"/>
          <w:szCs w:val="22"/>
        </w:rPr>
        <w:t xml:space="preserve"> v platném znění. </w:t>
      </w:r>
    </w:p>
    <w:p>
      <w:pPr>
        <w:pStyle w:val="Tlotextu"/>
        <w:numPr>
          <w:ilvl w:val="0"/>
          <w:numId w:val="3"/>
        </w:numPr>
        <w:spacing w:before="120" w:after="0"/>
        <w:jc w:val="both"/>
        <w:rPr>
          <w:sz w:val="22"/>
          <w:szCs w:val="22"/>
        </w:rPr>
      </w:pPr>
      <w:r>
        <w:rPr>
          <w:sz w:val="22"/>
          <w:szCs w:val="22"/>
        </w:rPr>
        <w:t xml:space="preserve">Veškeré změny této smlouvy mohou být provedeny po dohodě smluvních stran písemnými vzestupně očíslovanými dodatky. </w:t>
      </w:r>
    </w:p>
    <w:p>
      <w:pPr>
        <w:pStyle w:val="Normal"/>
        <w:numPr>
          <w:ilvl w:val="0"/>
          <w:numId w:val="3"/>
        </w:numPr>
        <w:spacing w:before="120" w:after="0"/>
        <w:jc w:val="both"/>
        <w:rPr>
          <w:sz w:val="22"/>
          <w:szCs w:val="22"/>
        </w:rPr>
      </w:pPr>
      <w:r>
        <w:rPr>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 nebo odmítne převzít zásilku, tato se bude považovat za doručenou třetím pracovním dnem po odeslání.</w:t>
      </w:r>
    </w:p>
    <w:p>
      <w:pPr>
        <w:pStyle w:val="Normal"/>
        <w:widowControl w:val="false"/>
        <w:numPr>
          <w:ilvl w:val="0"/>
          <w:numId w:val="3"/>
        </w:numPr>
        <w:spacing w:lineRule="atLeast" w:line="240" w:before="120" w:after="0"/>
        <w:jc w:val="both"/>
        <w:rPr>
          <w:sz w:val="22"/>
          <w:szCs w:val="22"/>
        </w:rPr>
      </w:pPr>
      <w:r>
        <w:rPr>
          <w:sz w:val="22"/>
          <w:szCs w:val="22"/>
        </w:rPr>
        <w:t>Tato smlouva je vyhotovena ve 2 exemplářích, každé s platností originálu, z nichž po jednom obdrží každý účastník této smlouvy.</w:t>
      </w:r>
    </w:p>
    <w:p>
      <w:pPr>
        <w:pStyle w:val="Tlotextu"/>
        <w:numPr>
          <w:ilvl w:val="0"/>
          <w:numId w:val="3"/>
        </w:numPr>
        <w:spacing w:lineRule="atLeast" w:line="240" w:before="120" w:after="0"/>
        <w:jc w:val="both"/>
        <w:rPr>
          <w:sz w:val="22"/>
          <w:szCs w:val="22"/>
        </w:rPr>
      </w:pPr>
      <w:r>
        <w:rPr>
          <w:sz w:val="22"/>
          <w:szCs w:val="22"/>
        </w:rPr>
        <w:t xml:space="preserve">Smlouva nabývá platnosti dnem podpisu všemi účastníky smlouvy. </w:t>
      </w:r>
    </w:p>
    <w:p>
      <w:pPr>
        <w:pStyle w:val="BodyTextIndent2"/>
        <w:numPr>
          <w:ilvl w:val="0"/>
          <w:numId w:val="3"/>
        </w:numPr>
        <w:spacing w:lineRule="atLeast" w:line="240" w:before="120" w:after="0"/>
        <w:jc w:val="both"/>
        <w:rPr>
          <w:sz w:val="22"/>
          <w:szCs w:val="22"/>
        </w:rPr>
      </w:pPr>
      <w:r>
        <w:rPr>
          <w:sz w:val="22"/>
          <w:szCs w:val="22"/>
        </w:rPr>
        <w:t>Kupující je povinným subjektem dle zákona č. 340/2015 Sb., o registru smluv (dále jen “zákon o registru smluv“). Prodávající bere na vědomí a výslovně souhlasí s tím, že tato smlouva, podléhá uveřejnění v Registru smluv (informační systém veřejné správy, jehož správcem je Ministerstvo vnitra).  Kupující se zavazuje, že provede uveřejnění této smlouvy dle příslušného zákona o registru smluv.</w:t>
      </w:r>
    </w:p>
    <w:p>
      <w:pPr>
        <w:pStyle w:val="Tlotextu"/>
        <w:numPr>
          <w:ilvl w:val="0"/>
          <w:numId w:val="3"/>
        </w:numPr>
        <w:spacing w:before="120" w:after="0"/>
        <w:jc w:val="both"/>
        <w:rPr>
          <w:sz w:val="22"/>
          <w:szCs w:val="22"/>
        </w:rPr>
      </w:pPr>
      <w:r>
        <w:rPr>
          <w:sz w:val="22"/>
          <w:szCs w:val="22"/>
        </w:rPr>
        <w:t>Tato smlouva nabývá účinnosti dnem uveřejnění smlouvy v Registru smluv. O této skutečnosti je Kupující povinen uvědomit Prodávajícího a to formou zaslání výpisu z Registru smluv.</w:t>
      </w:r>
    </w:p>
    <w:p>
      <w:pPr>
        <w:pStyle w:val="Tlotextu"/>
        <w:numPr>
          <w:ilvl w:val="0"/>
          <w:numId w:val="3"/>
        </w:numPr>
        <w:spacing w:before="120" w:after="0"/>
        <w:jc w:val="both"/>
        <w:rPr>
          <w:sz w:val="22"/>
          <w:szCs w:val="22"/>
        </w:rPr>
      </w:pPr>
      <w:r>
        <w:rPr>
          <w:sz w:val="22"/>
          <w:szCs w:val="22"/>
        </w:rPr>
        <w:t>Účastníci této smlouvy výslovně prohlašují, že:</w:t>
      </w:r>
    </w:p>
    <w:p>
      <w:pPr>
        <w:pStyle w:val="Tlotextu"/>
        <w:numPr>
          <w:ilvl w:val="2"/>
          <w:numId w:val="3"/>
        </w:numPr>
        <w:spacing w:before="0" w:after="0"/>
        <w:jc w:val="both"/>
        <w:rPr>
          <w:sz w:val="22"/>
          <w:szCs w:val="22"/>
        </w:rPr>
      </w:pPr>
      <w:r>
        <w:rPr>
          <w:sz w:val="22"/>
          <w:szCs w:val="22"/>
        </w:rPr>
        <w:t>si tuto smlouvu před jejím podpisem řádně přečetli, porozuměli jejímu obsahu, a že tato smlouva byla sepsána dle jejich svobodné, vážné a shodné vůle, nikoli v tísni,</w:t>
      </w:r>
    </w:p>
    <w:p>
      <w:pPr>
        <w:pStyle w:val="Tlotextu"/>
        <w:numPr>
          <w:ilvl w:val="2"/>
          <w:numId w:val="3"/>
        </w:numPr>
        <w:spacing w:before="0" w:after="0"/>
        <w:jc w:val="both"/>
        <w:rPr>
          <w:sz w:val="22"/>
          <w:szCs w:val="22"/>
        </w:rPr>
      </w:pPr>
      <w:r>
        <w:rPr>
          <w:sz w:val="22"/>
          <w:szCs w:val="22"/>
        </w:rPr>
        <w:t>při uzavírání smlouvy jednali s běžnou péčí a opatrností, poctivě a ctíc zákonná ustanovení a</w:t>
      </w:r>
    </w:p>
    <w:p>
      <w:pPr>
        <w:pStyle w:val="Tlotextu"/>
        <w:numPr>
          <w:ilvl w:val="2"/>
          <w:numId w:val="3"/>
        </w:numPr>
        <w:spacing w:before="0" w:after="0"/>
        <w:jc w:val="both"/>
        <w:rPr>
          <w:sz w:val="22"/>
          <w:szCs w:val="22"/>
        </w:rPr>
      </w:pPr>
      <w:r>
        <w:rPr>
          <w:sz w:val="22"/>
          <w:szCs w:val="22"/>
        </w:rPr>
        <w:t>jsou si vědomi vzájemných práv a povinností a okolností jejich smluvního vztahu, svá postavení považují za vzájemně rovná a vzájemná plnění za vyvážená na důkaz čehož připojují na závěr své podpisy.</w:t>
      </w:r>
    </w:p>
    <w:p>
      <w:pPr>
        <w:pStyle w:val="Normal"/>
        <w:rPr>
          <w:sz w:val="22"/>
        </w:rPr>
      </w:pPr>
      <w:r>
        <w:rPr>
          <w:sz w:val="22"/>
        </w:rPr>
      </w:r>
    </w:p>
    <w:p>
      <w:pPr>
        <w:pStyle w:val="Normal"/>
        <w:rPr>
          <w:sz w:val="22"/>
        </w:rPr>
      </w:pPr>
      <w:r>
        <w:rPr>
          <w:sz w:val="22"/>
        </w:rPr>
      </w:r>
    </w:p>
    <w:p>
      <w:pPr>
        <w:pStyle w:val="Normal"/>
        <w:rPr>
          <w:sz w:val="22"/>
        </w:rPr>
      </w:pPr>
      <w:r>
        <w:rPr>
          <w:sz w:val="22"/>
        </w:rPr>
        <w:t>V ........................ dne …….</w:t>
        <w:tab/>
        <w:tab/>
        <w:tab/>
        <w:tab/>
        <w:tab/>
        <w:t xml:space="preserve">V ……………..dne ………………. </w: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t>………………………………………</w:t>
      </w:r>
      <w:r>
        <w:rPr>
          <w:sz w:val="22"/>
        </w:rPr>
        <w:t>..</w:t>
        <w:tab/>
        <w:tab/>
        <w:tab/>
        <w:tab/>
        <w:t>………………………………………..</w:t>
      </w:r>
    </w:p>
    <w:p>
      <w:pPr>
        <w:pStyle w:val="Normal"/>
        <w:ind w:firstLine="708"/>
        <w:jc w:val="both"/>
        <w:rPr>
          <w:sz w:val="22"/>
        </w:rPr>
      </w:pPr>
      <w:r>
        <w:rPr>
          <w:sz w:val="22"/>
        </w:rPr>
        <w:t>za ...............................</w:t>
        <w:tab/>
        <w:tab/>
        <w:tab/>
        <w:tab/>
        <w:tab/>
        <w:tab/>
        <w:t>za..</w:t>
      </w:r>
    </w:p>
    <w:p>
      <w:pPr>
        <w:pStyle w:val="Normal"/>
        <w:ind w:firstLine="708"/>
        <w:jc w:val="both"/>
        <w:rPr>
          <w:sz w:val="22"/>
        </w:rPr>
      </w:pPr>
      <w:r>
        <w:rPr>
          <w:sz w:val="22"/>
        </w:rPr>
        <w:t xml:space="preserve">........................                                                                                    </w:t>
      </w:r>
    </w:p>
    <w:p>
      <w:pPr>
        <w:pStyle w:val="Normal"/>
        <w:rPr>
          <w:sz w:val="22"/>
        </w:rPr>
      </w:pPr>
      <w:r>
        <w:rPr>
          <w:b/>
          <w:sz w:val="22"/>
        </w:rPr>
        <w:t xml:space="preserve">                                                                                                                    </w:t>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t xml:space="preserve">Přílohy: </w:t>
      </w:r>
    </w:p>
    <w:p>
      <w:pPr>
        <w:pStyle w:val="Normal"/>
        <w:rPr>
          <w:sz w:val="22"/>
        </w:rPr>
      </w:pPr>
      <w:r>
        <w:rPr>
          <w:sz w:val="22"/>
        </w:rPr>
        <w:t>Příloha č. 1 – Technická specifikace dodávky</w:t>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hint="default"/>
      </w:rPr>
    </w:lvl>
    <w:lvl w:ilvl="4">
      <w:start w:val="1"/>
      <w:numFmt w:val="bullet"/>
      <w:lvlText w:val=""/>
      <w:lvlJc w:val="left"/>
      <w:pPr>
        <w:tabs>
          <w:tab w:val="num" w:pos="1644"/>
        </w:tabs>
        <w:ind w:left="1644" w:hanging="510"/>
      </w:pPr>
      <w:rPr>
        <w:rFonts w:ascii="Symbol" w:hAnsi="Symbol" w:cs="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hint="default"/>
      </w:rPr>
    </w:lvl>
    <w:lvl w:ilvl="4">
      <w:start w:val="1"/>
      <w:numFmt w:val="bullet"/>
      <w:lvlText w:val=""/>
      <w:lvlJc w:val="left"/>
      <w:pPr>
        <w:tabs>
          <w:tab w:val="num" w:pos="1644"/>
        </w:tabs>
        <w:ind w:left="1644" w:hanging="510"/>
      </w:pPr>
      <w:rPr>
        <w:rFonts w:ascii="Symbol" w:hAnsi="Symbol" w:cs="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hint="default"/>
      </w:rPr>
    </w:lvl>
    <w:lvl w:ilvl="4">
      <w:start w:val="1"/>
      <w:numFmt w:val="bullet"/>
      <w:lvlText w:val=""/>
      <w:lvlJc w:val="left"/>
      <w:pPr>
        <w:tabs>
          <w:tab w:val="num" w:pos="1644"/>
        </w:tabs>
        <w:ind w:left="1644" w:hanging="510"/>
      </w:pPr>
      <w:rPr>
        <w:rFonts w:ascii="Symbol" w:hAnsi="Symbol" w:cs="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hint="default"/>
      </w:rPr>
    </w:lvl>
    <w:lvl w:ilvl="4">
      <w:start w:val="1"/>
      <w:numFmt w:val="bullet"/>
      <w:lvlText w:val=""/>
      <w:lvlJc w:val="left"/>
      <w:pPr>
        <w:tabs>
          <w:tab w:val="num" w:pos="1644"/>
        </w:tabs>
        <w:ind w:left="1644" w:hanging="510"/>
      </w:pPr>
      <w:rPr>
        <w:rFonts w:ascii="Symbol" w:hAnsi="Symbol" w:cs="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cs="Symbol" w:hint="default"/>
      </w:rPr>
    </w:lvl>
    <w:lvl w:ilvl="4">
      <w:start w:val="1"/>
      <w:numFmt w:val="bullet"/>
      <w:lvlText w:val=""/>
      <w:lvlJc w:val="left"/>
      <w:pPr>
        <w:tabs>
          <w:tab w:val="num" w:pos="1644"/>
        </w:tabs>
        <w:ind w:left="1644" w:hanging="510"/>
      </w:pPr>
      <w:rPr>
        <w:rFonts w:ascii="Symbol" w:hAnsi="Symbol" w:cs="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f57"/>
    <w:pPr>
      <w:widowControl/>
      <w:bidi w:val="0"/>
      <w:spacing w:lineRule="auto" w:line="240" w:before="0" w:after="0"/>
      <w:jc w:val="left"/>
    </w:pPr>
    <w:rPr>
      <w:rFonts w:ascii="Times New Roman" w:hAnsi="Times New Roman" w:eastAsia="Times New Roman" w:cs="Times New Roman"/>
      <w:color w:val="auto"/>
      <w:kern w:val="0"/>
      <w:sz w:val="20"/>
      <w:szCs w:val="20"/>
      <w:lang w:eastAsia="cs-CZ" w:val="cs-CZ"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qFormat/>
    <w:rsid w:val="00c31f57"/>
    <w:rPr>
      <w:rFonts w:ascii="Times New Roman" w:hAnsi="Times New Roman" w:eastAsia="Times New Roman" w:cs="Times New Roman"/>
      <w:sz w:val="20"/>
      <w:szCs w:val="20"/>
      <w:lang w:eastAsia="cs-CZ"/>
    </w:rPr>
  </w:style>
  <w:style w:type="character" w:styleId="Zkladntextodsazen2Char" w:customStyle="1">
    <w:name w:val="Základní text odsazený 2 Char"/>
    <w:basedOn w:val="DefaultParagraphFont"/>
    <w:link w:val="Zkladntextodsazen2"/>
    <w:uiPriority w:val="99"/>
    <w:semiHidden/>
    <w:qFormat/>
    <w:rsid w:val="00c31f57"/>
    <w:rPr>
      <w:rFonts w:ascii="Times New Roman" w:hAnsi="Times New Roman" w:eastAsia="Times New Roman" w:cs="Times New Roman"/>
      <w:sz w:val="20"/>
      <w:szCs w:val="20"/>
      <w:lang w:eastAsia="cs-CZ"/>
    </w:rPr>
  </w:style>
  <w:style w:type="character" w:styleId="Contactname" w:customStyle="1">
    <w:name w:val="contact-name"/>
    <w:qFormat/>
    <w:rsid w:val="00c31f57"/>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uiPriority w:val="99"/>
    <w:unhideWhenUsed/>
    <w:rsid w:val="00c31f57"/>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yTextIndent2">
    <w:name w:val="Body Text Indent 2"/>
    <w:basedOn w:val="Normal"/>
    <w:link w:val="Zkladntextodsazen2Char"/>
    <w:uiPriority w:val="99"/>
    <w:semiHidden/>
    <w:unhideWhenUsed/>
    <w:qFormat/>
    <w:rsid w:val="00c31f57"/>
    <w:pPr>
      <w:spacing w:lineRule="auto" w:line="480" w:before="0" w:after="120"/>
      <w:ind w:left="283" w:hanging="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LibreOffice/6.0.5.2$Windows_X86_64 LibreOffice_project/54c8cbb85f300ac59db32fe8a675ff7683cd5a16</Application>
  <Pages>4</Pages>
  <Words>1493</Words>
  <Characters>8544</Characters>
  <CharactersWithSpaces>10169</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2019-02-06T09:33:00Z</dcterms:created>
  <dc:creator>servis</dc:creator>
  <dc:description/>
  <dc:language>cs-CZ</dc:language>
  <cp:lastModifiedBy/>
  <dcterms:modified xsi:type="dcterms:W3CDTF">2019-09-19T08:02:58Z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